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Расчёты коэффициентов к Главе 2</w:t>
      </w:r>
    </w:p>
    <w:p>
      <w:pPr>
        <w:jc w:val="both"/>
      </w:pPr>
      <w:r>
        <w:rPr>
          <w:rFonts w:ascii="Times New Roman" w:hAnsi="Times New Roman"/>
          <w:sz w:val="24"/>
        </w:rPr>
        <w:t>ООО «Региональная специализированная компания» (ООО «РЕГИОНСПЕЦКОМ»), ИНН 3811141375, основной вид деятельности — строительство жилых и нежилых зданий (ОКВЭД 41.20). Компания выполняет государственный оборонный заказ (ГОЗ) — строительство и реконструкция объектов военной инфраструктуры по контрактам с Министерством обороны Российской Федерации. Финансовые расчёты по ГОЗ ведутся через специальные счёта в уполномоченных банках в соответствии с требованиями Федерального закона № 275-ФЗ «О государственном оборонном заказе». Анализируемый период: 2021–2025 гг., единица измерения — тыс. руб.</w:t>
      </w:r>
    </w:p>
    <w:p>
      <w:pPr>
        <w:jc w:val="both"/>
      </w:pPr>
      <w:r>
        <w:rPr>
          <w:rFonts w:ascii="Times New Roman" w:hAnsi="Times New Roman"/>
          <w:sz w:val="24"/>
        </w:rPr>
        <w:t>Источники реальных данных: Бухгалтерская отчётность за 2023, 2024, 2025 гг.; Оборотно-сальдовые ведомости за 2023–2025 гг. Данные 2021 года (показатели ОФР) смоделированы как плавное продолжение реальных данных 2022 г.</w:t>
      </w:r>
    </w:p>
    <w:p>
      <w:r>
        <w:rPr>
          <w:rFonts w:ascii="Times New Roman" w:hAnsi="Times New Roman"/>
          <w:b/>
          <w:sz w:val="28"/>
        </w:rPr>
        <w:t>ПУНКТ 1 — Фондоотдача (Fо)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Показатель характеризует эффективность использования основных производственных фондов: сколько выручки приходится на каждый рубль среднегодовой стоимости основных фондов. Для строительной компании в сфере ГОЗ показатель отражает капиталоёмкость собственной материально-технической базы; для подрядчика, активно использующего арендованную технику и субподряд, типичны высокие значения фондоотдачи.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Fо = Q / ОФср (формула 2.4)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продажи работ, услуг (стр. 2110 Отчёта о финансовых результатах)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 = (ОФ на начало + ОФ на конец) / 2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Шаг 1: Q = 30 000 тыс. руб. (Глава 2, табл. 2.10, стр. «Выручка», смоделировано как продолжение 2022 г.)</w:t>
      </w:r>
    </w:p>
    <w:p>
      <w:pPr>
        <w:jc w:val="both"/>
      </w:pPr>
      <w:r>
        <w:rPr>
          <w:rFonts w:ascii="Times New Roman" w:hAnsi="Times New Roman"/>
          <w:sz w:val="24"/>
        </w:rPr>
        <w:t>Шаг 2: ОФср = (0 + 0) / 2 = 0 — в 2021 г. компания не владела ОФ (Глава 2, табл. 2.3, стр. «Итого Раздел I»)</w:t>
      </w:r>
    </w:p>
    <w:p>
      <w:pPr>
        <w:jc w:val="both"/>
      </w:pPr>
      <w:r>
        <w:rPr>
          <w:rFonts w:ascii="Times New Roman" w:hAnsi="Times New Roman"/>
          <w:sz w:val="24"/>
        </w:rPr>
        <w:t>Шаг 3: Fо = 30 000 / 0 — не определена; работа велась с применением арендованной техники и субподряда.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Шаг 1: Q = 36 856 тыс. руб. (реальные данные — ОФР 2023 упрощённая, стр. «Выручка», графа 2022 г.)</w:t>
      </w:r>
    </w:p>
    <w:p>
      <w:pPr>
        <w:jc w:val="both"/>
      </w:pPr>
      <w:r>
        <w:rPr>
          <w:rFonts w:ascii="Times New Roman" w:hAnsi="Times New Roman"/>
          <w:sz w:val="24"/>
        </w:rPr>
        <w:t>Шаг 2: ОФср = (0 + 0) / 2 = 0 — ОФ отсутствуют (БО 2024, стр. 1150, графа 2022 г. = 0)</w:t>
      </w:r>
    </w:p>
    <w:p>
      <w:pPr>
        <w:jc w:val="both"/>
      </w:pPr>
      <w:r>
        <w:rPr>
          <w:rFonts w:ascii="Times New Roman" w:hAnsi="Times New Roman"/>
          <w:sz w:val="24"/>
        </w:rPr>
        <w:t>Шаг 3: Fо = 36 856 / 0 — не определена.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Шаг 1: Q = 227 036 тыс. руб. (реальные данные — ОФР 2024, стр. «Выручка», графа 2023 г.)</w:t>
      </w:r>
    </w:p>
    <w:p>
      <w:pPr>
        <w:jc w:val="both"/>
      </w:pPr>
      <w:r>
        <w:rPr>
          <w:rFonts w:ascii="Times New Roman" w:hAnsi="Times New Roman"/>
          <w:sz w:val="24"/>
        </w:rPr>
        <w:t>Шаг 2: ОФср = (0 + 271) / 2 = 135,5 тыс. руб. (БО 2025, стр. 1150)</w:t>
      </w:r>
    </w:p>
    <w:p>
      <w:pPr>
        <w:jc w:val="both"/>
      </w:pPr>
      <w:r>
        <w:rPr>
          <w:rFonts w:ascii="Times New Roman" w:hAnsi="Times New Roman"/>
          <w:sz w:val="24"/>
        </w:rPr>
        <w:t>Шаг 3: Fо = 227 036 / 135,5 = 1 676 — фондоотдача исключительно высокая, что объясняется началом первого крупного контракта ГОЗ при минимальной собственной материально-технической базе.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Шаг 1: Q = 269 632 тыс. руб. (реальные данные — ОФР 2024, стр. «Выручка», графа 2024 г.)</w:t>
      </w:r>
    </w:p>
    <w:p>
      <w:pPr>
        <w:jc w:val="both"/>
      </w:pPr>
      <w:r>
        <w:rPr>
          <w:rFonts w:ascii="Times New Roman" w:hAnsi="Times New Roman"/>
          <w:sz w:val="24"/>
        </w:rPr>
        <w:t>Шаг 2: ОФср = (271 + 12 140) / 2 = 6 205,5 тыс. руб. (БО 2025, стр. 1150)</w:t>
      </w:r>
    </w:p>
    <w:p>
      <w:pPr>
        <w:jc w:val="both"/>
      </w:pPr>
      <w:r>
        <w:rPr>
          <w:rFonts w:ascii="Times New Roman" w:hAnsi="Times New Roman"/>
          <w:sz w:val="24"/>
        </w:rPr>
        <w:t>Шаг 3: Fо = 269 632 / 6 205,5 = 43,45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Шаг 1: Q = 399 379 тыс. руб. (реальные данные — ОФР 2025, стр. «Выручка», графа 2025 г.)</w:t>
      </w:r>
    </w:p>
    <w:p>
      <w:pPr>
        <w:jc w:val="both"/>
      </w:pPr>
      <w:r>
        <w:rPr>
          <w:rFonts w:ascii="Times New Roman" w:hAnsi="Times New Roman"/>
          <w:sz w:val="24"/>
        </w:rPr>
        <w:t>Шаг 2: ОФср = (12 140 + 18 654) / 2 = 15 397 тыс. руб.</w:t>
      </w:r>
    </w:p>
    <w:p>
      <w:pPr>
        <w:jc w:val="both"/>
      </w:pPr>
      <w:r>
        <w:rPr>
          <w:rFonts w:ascii="Times New Roman" w:hAnsi="Times New Roman"/>
          <w:sz w:val="24"/>
        </w:rPr>
        <w:t>Шаг 3: Fо = 399 379 / 15 397 = 25,94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Фондоотдача, руб./руб.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1675,54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43,45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25,94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аномально высокие значения фондоотдачи в 2023–2024 гг. являются нормальным и объяснимым явлением. Компания массово использует арендованную строительную технику и привлекает субподрядчиков (более 80% себестоимости — статья «Прочие затраты», то есть оплата субподрядных работ и услуг). Снижение фондоотдачи с 1 676 (2023 г.) до 25,94 (2025 г.) свидетельствует о начале капитализации производственной базы на собственный баланс: за 2024–2025 гг. компания приобрела транспортные средства первоначальной стоимостью более 20 млн руб. — это положительный сдвиг для долгосрочной устойчивости подрядчика ГОЗ.</w:t>
      </w:r>
    </w:p>
    <w:p/>
    <w:p>
      <w:r>
        <w:rPr>
          <w:rFonts w:ascii="Times New Roman" w:hAnsi="Times New Roman"/>
          <w:b/>
          <w:sz w:val="28"/>
        </w:rPr>
        <w:t>ПУНКТ 2 — Фондоёмкость (Fе)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Показатель, обратный фондоотдаче: сколько рублей основных фондов необходимо для получения одного рубля выручки. Для подрядчиков военного строительства характерны низкие значения из-за широкого применения аренды техники и работы по схеме «генподрядчик–субподрядчики».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Fе = ОФср / Q (формула 2.5)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продажи работ, услуг (стр. 2110 ОФР)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0 / 30 000 = 0 (основных фондов нет)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0 / 36 856 = 0 (основных фондов нет)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136 / 227 036 = 0,001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6 206 / 269 632 = 0,023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15 397 / 399 379 = 0,039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Фондоёмкость, руб./руб.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&lt;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низкая фондоёмкость объяснима: основная часть строительной техники используется по договорам аренды и привлекается через субподрядчиков. На баланс ставятся только служебный автотранспорт и офисное оборудование. Это стандартная организация работ для компании, выполняющей ГОЗ силами 80 чел. собственного штата.</w:t>
      </w:r>
    </w:p>
    <w:p/>
    <w:p>
      <w:r>
        <w:rPr>
          <w:rFonts w:ascii="Times New Roman" w:hAnsi="Times New Roman"/>
          <w:b/>
          <w:sz w:val="28"/>
        </w:rPr>
        <w:t>ПУНКТ 3 — Фондовооружённость (Fв)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какая сумма основных фондов приходится на одного работника. Характеризует уровень технической оснащённости труда. Для строительной отрасли значение зависит от того, эксплуатирует ли компания собственный парк техники или работает с арендованным оборудованием.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Fв = ОФср / Ч (формула 2.6)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pPr>
        <w:jc w:val="both"/>
      </w:pPr>
      <w:r>
        <w:rPr>
          <w:rFonts w:ascii="Times New Roman" w:hAnsi="Times New Roman"/>
          <w:sz w:val="24"/>
        </w:rPr>
        <w:t>Ч — среднесписочная численность работников = 80 чел.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0 / 80 = 0,00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0 / 80 = 0,00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136 / 80 = 1,69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6 206 / 80 = 77,57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15 397 / 80 = 192,46 тыс. руб./чел.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Фондовооружённость, тыс. руб./чел.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1,69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77,57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192,46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растёт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низкое значение фондовооружённости в 2021–2023 гг. (0–3,4 тыс. руб./чел.) характерно для компаний, активно использующих аренду техники и привлечение субподрядчиков. В 2024–2025 гг. показатель резко вырос до 77,6 и 192,5 тыс. руб./чел. соответственно — это положительная динамика, отражающая инвестиции в собственный парк (транспортные средства).</w:t>
      </w:r>
    </w:p>
    <w:p/>
    <w:p>
      <w:r>
        <w:rPr>
          <w:rFonts w:ascii="Times New Roman" w:hAnsi="Times New Roman"/>
          <w:b/>
          <w:sz w:val="28"/>
        </w:rPr>
        <w:t>ПУНКТ 4 — Рентабельность основных фондов (Rоф)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приносит каждый рубль среднегодовой стоимости основных фондов. В строительстве, где значительная часть основных средств находится в аренде, этот показатель может быть исключительно высоким.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Rоф = Pr / ОФср (формула 2.7)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 (стр. 2200 ОФР)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— не определена (ОФ = 0)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— не определена (ОФ = 0)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3 688 / 136 × 100% = 2721,8 %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3 021 / 6 206 × 100% = 48,7 %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14 632 / 15 397 × 100% = 95,0 %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Рентабельность ОФ,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2721,8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48,7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95,0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крайне высокая рентабельность ОФ в 2023 г. (2 723%) объясняется минимальной собственной материально-технической базой: компания зарабатывает прибыль преимущественно за счёт грамотной организации работ и привлечения субподряда. По мере наращивания парка техники показатель снижается до более типичных значений (95% в 2025 г.), что является нормальным.</w:t>
      </w:r>
    </w:p>
    <w:p/>
    <w:p>
      <w:r>
        <w:rPr>
          <w:rFonts w:ascii="Times New Roman" w:hAnsi="Times New Roman"/>
          <w:b/>
          <w:sz w:val="28"/>
        </w:rPr>
        <w:t>ПУНКТ 5 — Коэффициент обновления основных фондов (Кобн)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поступивших за период основных фондов в их общей стоимости на конец периода. Для подрядчика ГОЗ — индикатор инвестиций в собственный парк для повышения автономности и снижения зависимости от аренды.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Кобн = ОФпост / ОФк.г.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ОФпост — стоимость поступивших ОФ за год (по первоначальной стоимости)</w:t>
      </w:r>
    </w:p>
    <w:p>
      <w:pPr>
        <w:jc w:val="both"/>
      </w:pPr>
      <w:r>
        <w:rPr>
          <w:rFonts w:ascii="Times New Roman" w:hAnsi="Times New Roman"/>
          <w:sz w:val="24"/>
        </w:rPr>
        <w:t>ОФк.г. — стоимость ОФ на конец года (по первоначальной стоимости)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— не определён (ОФ отсутствуют)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— не определён (ОФ отсутствуют)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317 / 317 = 1,00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12 128 / 12 445 = 0,97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8 736 / 21 181 = 0,41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Кобн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0,41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высокий коэффициент обновления (0,97 в 2024 г., 0,41 в 2025 г.) свидетельствует об активной фазе формирования собственной материально-технической базы под исполнение крупных госконтрактов. Это закономерный шаг по сокращению аренды и повышению устойчивости подрядчика МО РФ.</w:t>
      </w:r>
    </w:p>
    <w:p/>
    <w:p>
      <w:r>
        <w:rPr>
          <w:rFonts w:ascii="Times New Roman" w:hAnsi="Times New Roman"/>
          <w:b/>
          <w:sz w:val="28"/>
        </w:rPr>
        <w:t>ПУНКТ 6 — Коэффициент текущей ликвидности (Ктл)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способность компании погасить краткосрочные обязательства за счёт оборотных активов. Для подрядчиков ГОЗ значение часто находится у нижней границы нормы из-за параллельного отражения авансов по госконтрактам (в Кредиторской задолженности) и незавершённого производства (в Запасах).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Ктл = ОА / КО (формула из раздела «Ликвидность» Главы 2)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ОА — оборотные активы (Итого Раздел II баланса, стр. 1200)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(Итого Раздел V, 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5 704 / 2 959 = 1,93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5 491 / 2 680 = 2,05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65 137 / 59 497 = 1,09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406 875 / 405 696 = 1,00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508 002 / 508 179 = 1,00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Ктл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1,93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2,0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снижение Ктл с 2,05 (2022 г.) до 1,00 (2024–2025 гг.) объясняется ростом кредиторской задолженности в составе авансов, полученных от Минобороны РФ по схеме поэтапного финансирования госконтрактов. Параллельно в Запасах накапливается значительный объём незавершённого производства (227 358 тыс. руб. на 31.12.2025) — это работы, сданные по этапам, но ещё не закрытые приёмочными актами. Для подрядчика ГОЗ значение Ктл около 1,0 — нормальная ситуация, поскольку обязательства фактически обеспечены незавершёнными работами с гарантией оплаты со стороны государства.</w:t>
      </w:r>
    </w:p>
    <w:p/>
    <w:p>
      <w:r>
        <w:rPr>
          <w:rFonts w:ascii="Times New Roman" w:hAnsi="Times New Roman"/>
          <w:b/>
          <w:sz w:val="28"/>
        </w:rPr>
        <w:t>ПУНКТ 7 — Коэффициент быстрой ликвидности (Кбл)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Характеризует возможность погашения краткосрочных обязательств за счёт ликвидных активов (денежные средства, краткосрочные финансовые вложения, дебиторская задолженность).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Кбл = (ДЗ + ФВ + ДС) / КО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ДЗ — дебиторская задолженность (стр. 1230)</w:t>
      </w:r>
    </w:p>
    <w:p>
      <w:pPr>
        <w:jc w:val="both"/>
      </w:pPr>
      <w:r>
        <w:rPr>
          <w:rFonts w:ascii="Times New Roman" w:hAnsi="Times New Roman"/>
          <w:sz w:val="24"/>
        </w:rPr>
        <w:t>ФВ — краткосрочные финансовые вложения (стр. 1240)</w:t>
      </w:r>
    </w:p>
    <w:p>
      <w:pPr>
        <w:jc w:val="both"/>
      </w:pPr>
      <w:r>
        <w:rPr>
          <w:rFonts w:ascii="Times New Roman" w:hAnsi="Times New Roman"/>
          <w:sz w:val="24"/>
        </w:rPr>
        <w:t>ДС — денежные средства и эквиваленты (стр. 1250)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(3 500 + 0 + 1 150) / 2 959 = 4 650 / 2 959 = 1,57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(3 124 + 0 + 582) / 2 680 = 3 706 / 2 680 = 1,38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(21 431 + 0 + 6 895) / 59 497 = 28 326 / 59 497 = 0,48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(278 456 + 0 + 56 532) / 405 696 = 334 988 / 405 696 = 0,83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(264 196 + 67 + 13 959) / 508 179 = 278 222 / 508 179 = 0,55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Кбл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1,38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0,48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0,83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0,55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высокий Кбл в 2021–2022 гг. (1,57–1,38) и снижение до 0,55–0,83 в 2023–2025 гг. отражают изменение структуры оборотных активов: с переходом к крупным госконтрактам выросла доля незавершённого производства (Запасов), которая в Кбл не включается. При этом дебиторская задолженность по госконтрактам (расчёты с заказчиками — МО РФ) обеспечена графиком оплаты по этапам приёмки и не несёт риска неплатежа — это объяснимое отклонение от классического норматива ≥ 1,0.</w:t>
      </w:r>
    </w:p>
    <w:p/>
    <w:p>
      <w:r>
        <w:rPr>
          <w:rFonts w:ascii="Times New Roman" w:hAnsi="Times New Roman"/>
          <w:b/>
          <w:sz w:val="28"/>
        </w:rPr>
        <w:t>ПУНКТ 8 — Коэффициент абсолютной ликвидности (Кал)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краткосрочных обязательств, которая может быть погашена немедленно за счёт денежных средств и эквивалентов.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Кал = (ДС + ФВ) / КО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ДС — денежные средства (стр. 1250) — для компании ГОЗ это, в т.ч., остатки на спецсчетах в уполн. банках</w:t>
      </w:r>
    </w:p>
    <w:p>
      <w:pPr>
        <w:jc w:val="both"/>
      </w:pPr>
      <w:r>
        <w:rPr>
          <w:rFonts w:ascii="Times New Roman" w:hAnsi="Times New Roman"/>
          <w:sz w:val="24"/>
        </w:rPr>
        <w:t>ФВ — краткосрочные финансовые вложения (стр. 1240)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(1 150 + 0) / 2 959 = 0,39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(582 + 0) / 2 680 = 0,22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(6 895 + 0) / 59 497 = 0,12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(56 532 + 0) / 405 696 = 0,14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(13 959 + 67) / 508 179 = 0,03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Кал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0,2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в 2021–2022 гг. Кал был очень высоким (0,22–0,39) — компания только начинала деятельность и держала значительные остатки. В 2023–2025 гг. показатель снизился до 0,03–0,14: денежные средства активно использовались в обороте под исполнение этапов госконтрактов. Значения остаются объяснимыми с учётом особого режима спецсчетов по ФЗ-275, на которых обязательства перед поставщиками и субподрядчиками обеспечены целевыми авансами от заказчика.</w:t>
      </w:r>
    </w:p>
    <w:p/>
    <w:p>
      <w:r>
        <w:rPr>
          <w:rFonts w:ascii="Times New Roman" w:hAnsi="Times New Roman"/>
          <w:b/>
          <w:sz w:val="28"/>
        </w:rPr>
        <w:t>ПУНКТ 9 — Коэффициент автономии (Кавт)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собственного капитала в общей сумме источников финансирования. Характеризует финансовую независимость компании.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Кавт = СК / Б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СК — собственный капитал (Итого Раздел III, стр. 1300)</w:t>
      </w:r>
    </w:p>
    <w:p>
      <w:pPr>
        <w:jc w:val="both"/>
      </w:pPr>
      <w:r>
        <w:rPr>
          <w:rFonts w:ascii="Times New Roman" w:hAnsi="Times New Roman"/>
          <w:sz w:val="24"/>
        </w:rPr>
        <w:t>Б — валюта баланса (стр. 1600 = 1700)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2 745 / 5 704 = 0,48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2 811 / 5 491 = 0,51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5 911 / 65 408 = 0,09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6 734 / 419 015 = 0,02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17 481 / 526 656 = 0,03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Кавт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0,48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0,51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0,03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0,5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резкое снижение Кавт с 0,51 (2022 г.) до 0,02–0,09 (2023–2025 гг.) отражает быстрый рост валюты баланса за счёт авансов МО РФ (кредиторская задолженность). В военном строительстве такая структура баланса является нормой: государство фактически финансирует исполнение контракта (30–50% авансом), а собственный капитал подрядчика выполняет роль гарантийного обеспечения. Кавт у компании ГОЗ — рабочий, а не критический показатель, поскольку платёжеспособность обеспечена не структурой пассивов, а государственным финансированием по графику контракта.</w:t>
      </w:r>
    </w:p>
    <w:p/>
    <w:p>
      <w:r>
        <w:rPr>
          <w:rFonts w:ascii="Times New Roman" w:hAnsi="Times New Roman"/>
          <w:b/>
          <w:sz w:val="28"/>
        </w:rPr>
        <w:t>ПУНКТ 10 — Коэффициент финансовой зависимости (Кфз)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обязательств (заёмного капитала) в общей сумме источников финансирования. Чем выше — тем сильнее компания зависит от внешнего финансирования.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Кфз = (ДО + КО) / Б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ДО — долгосрочные обязательства (стр. 1400)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pPr>
        <w:jc w:val="both"/>
      </w:pPr>
      <w:r>
        <w:rPr>
          <w:rFonts w:ascii="Times New Roman" w:hAnsi="Times New Roman"/>
          <w:sz w:val="24"/>
        </w:rPr>
        <w:t>Б — валюта баланса (стр. 1700)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(0 + 2 959) / 5 704 = 0,52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(0 + 2 680) / 5 491 = 0,49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(0 + 59 497) / 65 408 = 0,91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(6 585 + 405 696) / 419 015 = 0,98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(996 + 508 179) / 526 656 = 0,97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Кфз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0,52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0,49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≤ 0,5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коэффициент финансовой зависимости близок к 1,0 в 2023–2025 гг. за счёт того, что бóльшая часть пассивов — авансы и расчёты с заказчиком по этапам сдачи работ, а не банковские кредиты. Долгосрочные займы компании составляют менее 1% валюты баланса. Высокое значение Кфз для подрядчика ГОЗ — это не индикатор финансового риска, а отражение схемы целевого финансирования госконтракта государством.</w:t>
      </w:r>
    </w:p>
    <w:p/>
    <w:p>
      <w:r>
        <w:rPr>
          <w:rFonts w:ascii="Times New Roman" w:hAnsi="Times New Roman"/>
          <w:b/>
          <w:sz w:val="28"/>
        </w:rPr>
        <w:t>ПУНКТ 11 — Коэффициент оборачиваемости оборотных активов (Коб)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количество оборотов, которое совершают оборотные активы за период; характеризует скорость превращения оборотных активов в выручку.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Коб = Q / ОАср (формула 2.9)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(стр. 2110 ОФР)</w:t>
      </w:r>
    </w:p>
    <w:p>
      <w:pPr>
        <w:jc w:val="both"/>
      </w:pPr>
      <w:r>
        <w:rPr>
          <w:rFonts w:ascii="Times New Roman" w:hAnsi="Times New Roman"/>
          <w:sz w:val="24"/>
        </w:rPr>
        <w:t>ОАср — средняя величина оборотных активов = (ОА на начало + ОА на конец) / 2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30 000 / 5 102 = 5,88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36 856 / 5 598 = 6,58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227 036 / 35 314 = 6,43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269 632 / 236 006 = 1,14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399 379 / 457 438 = 0,87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Коб, обороты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5,88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6,58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6,43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0,87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высокая оборачиваемость в 2021–2023 гг. (5,9–6,6) связана с малой базой оборотных активов на старте крупных контрактов. С 2024 г. показатель снижается до 1,14 и 0,87 (2025 г.) из-за резкого роста незавершённого производства и дебиторской задолженности по этапам сдачи работ МО РФ. Замедление оборачиваемости в данном случае — следствие удлинения производственного цикла по новым крупным объектам, а не ухудшения качества управления оборотом.</w:t>
      </w:r>
    </w:p>
    <w:p/>
    <w:p>
      <w:r>
        <w:rPr>
          <w:rFonts w:ascii="Times New Roman" w:hAnsi="Times New Roman"/>
          <w:b/>
          <w:sz w:val="28"/>
        </w:rPr>
        <w:t>ПУНКТ 12 — Средняя продолжительность одного оборота (Тоб)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дней в среднем один рубль оборотных активов проходит полный цикл от вложения в работы до получения выручки.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Тоб = 365 / Коб (формула 2.9 — следствие)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Коб — коэффициент оборачиваемости оборотных активов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5,88 = 62 дн.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6,58 = 55 дн.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6,43 = 57 дн.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1,14 = 319 дн.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0,87 = 418 дн.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Тоб, дн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319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418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снижение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увеличение длительности оборота с 56 дн. (2022 г.) до 418 дн. (2025 г.) отражает удлинение производственного цикла исполнения крупных строительных контрактов на объектах военной инфраструктуры (часто многолетние с поэтапной сдачей). В абсолютных нормативах ни на одну отрасль это не сравнимо — но для подрядчика ГОЗ это нормальная картина: длительный цикл компенсируется гарантированной оплатой по графику.</w:t>
      </w:r>
    </w:p>
    <w:p/>
    <w:p>
      <w:r>
        <w:rPr>
          <w:rFonts w:ascii="Times New Roman" w:hAnsi="Times New Roman"/>
          <w:b/>
          <w:sz w:val="28"/>
        </w:rPr>
        <w:t>ПУНКТ 13 — Производительность труда (выработка)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объём выручки, приходящийся на одного работника. Главный показатель производительности труда в строительстве.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В = Q / Ч (формула 2.12)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</w:t>
      </w:r>
    </w:p>
    <w:p>
      <w:pPr>
        <w:jc w:val="both"/>
      </w:pPr>
      <w:r>
        <w:rPr>
          <w:rFonts w:ascii="Times New Roman" w:hAnsi="Times New Roman"/>
          <w:sz w:val="24"/>
        </w:rPr>
        <w:t>Ч — среднесписочная численность работников = 80 чел.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30 000 / 80 = 375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36 856 / 80 = 461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227 036 / 80 = 2 838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269 632 / 80 = 3 370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399 379 / 80 = 4 992 тыс. руб./чел.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Выработка, тыс. руб./чел.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375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461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2 838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3 370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4 992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рост выработки с 375 (2021 г.) до 4 992 тыс. руб./чел. (2025 г.) — в 13,3 раза — характеризует резкое масштабирование операционной деятельности при неизменной численности. Это объясняется массовым привлечением субподрядных организаций (прочие затраты составляют более 70% себестоимости), что свойственно для генподрядчиков ГОЗ.</w:t>
      </w:r>
    </w:p>
    <w:p/>
    <w:p>
      <w:r>
        <w:rPr>
          <w:rFonts w:ascii="Times New Roman" w:hAnsi="Times New Roman"/>
          <w:b/>
          <w:sz w:val="28"/>
        </w:rPr>
        <w:t>ПУНКТ 14 — Рентабельность продукции (РIp)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приходится на каждый рубль совокупных затрат. Характеризует эффективность производственной деятельности.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РIp = (Pr / TC) × 100% (формула 2.13)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 (стр. 2200 ОФР)</w:t>
      </w:r>
    </w:p>
    <w:p>
      <w:pPr>
        <w:jc w:val="both"/>
      </w:pPr>
      <w:r>
        <w:rPr>
          <w:rFonts w:ascii="Times New Roman" w:hAnsi="Times New Roman"/>
          <w:sz w:val="24"/>
        </w:rPr>
        <w:t>TC — совокупные затраты = себестоимость + управленческие расходы (стр. 2120 + 2220)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1 255 / 28 745 × 100% = 4,4 %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1 378 / 35 478 × 100% = 3,9 %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3 688 / 223 348 × 100% = 1,7 %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3 021 / 266 611 × 100% = 1,1 %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14 632 / 384 747 × 100% = 3,8 %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РIp,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рентабельность продукции 1,1–4,4% существенно ниже типовых ориентиров для строительной отрасли (10–15%), но является нормальной для исполнителя гособоронзаказа. Прибыль по контрактам ГОЗ регулируется государством согласно ФЗ-275: плановая прибыль устанавливается в размере 1–20% от себестоимости контракта. Фактическое значение зависит от структуры контракта и согласованной цены. Рост показателя до 3,8% в 2025 г. — позитивная динамика в рамках нормативного коридора ГОЗ.</w:t>
      </w:r>
    </w:p>
    <w:p/>
    <w:p>
      <w:r>
        <w:rPr>
          <w:rFonts w:ascii="Times New Roman" w:hAnsi="Times New Roman"/>
          <w:b/>
          <w:sz w:val="28"/>
        </w:rPr>
        <w:t>ПУНКТ 15 — Рентабельность продаж (РIs)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приходится на 1 рубль выручки. Ключевой индикатор операционной эффективности.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РIs = (Pr / Q) × 100% (формула 2.14)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1 255 / 30 000 × 100% = 4,2 %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1 378 / 36 856 × 100% = 3,7 %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3 688 / 227 036 × 100% = 1,6 %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3 021 / 269 632 × 100% = 1,1 %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14 632 / 399 379 × 100% = 3,7 %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РIs,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4,2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3,7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3,7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рентабельность продаж колеблется в диапазоне 1,1–4,2%. Это объясняется тем, что в военном строительстве по ФЗ-275 норма прибыли регулируется государством, а большая часть стоимости контракта — это материалы и работы субподрядчиков, на которые наценка минимальная. Стабильность показателя на уровне 3–4% (2021–2022, 2025 гг.) — нормальный уровень для подрядчика ГОЗ.</w:t>
      </w:r>
    </w:p>
    <w:p/>
    <w:p>
      <w:r>
        <w:rPr>
          <w:rFonts w:ascii="Times New Roman" w:hAnsi="Times New Roman"/>
          <w:b/>
          <w:sz w:val="28"/>
        </w:rPr>
        <w:t>ПУНКТ 16 — Рентабельность основных фондов по чистой прибыли (Роф)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чистой прибыли приходится на 1 рубль среднегодовой стоимости основных фондов.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Роф = (ЧП / Соф) × 100% (формула 2.15)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 (стр. 2400 ОФР)</w:t>
      </w:r>
    </w:p>
    <w:p>
      <w:pPr>
        <w:jc w:val="both"/>
      </w:pPr>
      <w:r>
        <w:rPr>
          <w:rFonts w:ascii="Times New Roman" w:hAnsi="Times New Roman"/>
          <w:sz w:val="24"/>
        </w:rPr>
        <w:t>Соф — среднегодовая стоимость основных фондов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— не определена (ОФ отсутствуют)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— не определена (ОФ отсутствуют)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3 100 / 136 × 100% = 2287,8 %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824 / 6 206 × 100% = 13,3 %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10 747 / 15 397 × 100% = 69,8 %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Роф,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2287,8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69,8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показатель резко высок в 2023 г. (2 288%) из-за минимального размера ОФ; снижение до 13,3–69,8% в 2024–2025 гг. свидетельствует о накоплении производственных активов на собственном балансе компании. Положительные значения Роф во всех периодах указывают на прибыльное использование имеющихся основных фондов.</w:t>
      </w:r>
    </w:p>
    <w:p/>
    <w:p>
      <w:r>
        <w:rPr>
          <w:rFonts w:ascii="Times New Roman" w:hAnsi="Times New Roman"/>
          <w:b/>
          <w:sz w:val="28"/>
        </w:rPr>
        <w:t>ПУНКТ 17 — Рентабельность оборотных средств (Рос)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эффективность использования оборотных средств: сколько чистой прибыли приходится на 1 рубль среднегодовой стоимости оборотных активов.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Рос = (ЧП / Сос) × 100% (формула 2.16)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</w:t>
      </w:r>
    </w:p>
    <w:p>
      <w:pPr>
        <w:jc w:val="both"/>
      </w:pPr>
      <w:r>
        <w:rPr>
          <w:rFonts w:ascii="Times New Roman" w:hAnsi="Times New Roman"/>
          <w:sz w:val="24"/>
        </w:rPr>
        <w:t>Сос — среднегодовая величина оборотных активов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720 / 5 102 × 100% = 14,1 %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3 941 / 5 598 × 100% = 70,4 %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3 100 / 35 314 × 100% = 8,8 %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824 / 236 006 × 100% = 0,3 %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10 747 / 457 438 × 100% = 2,3 %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Рос,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14,1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70,4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рентабельность оборотных средств снижается с 14,1% (2021 г.) до 0,23% (2024 г.) из-за опережающего роста оборотных активов (запасов и дебиторской задолженности по госконтрактам) над чистой прибылью. Рост до 2,3% в 2025 г. отражает завершение крупных этапов работ и признание прибыли. Низкие значения объяснимы нормативным ограничением рентабельности по ФЗ-275.</w:t>
      </w:r>
    </w:p>
    <w:p/>
    <w:p>
      <w:r>
        <w:rPr>
          <w:rFonts w:ascii="Times New Roman" w:hAnsi="Times New Roman"/>
          <w:b/>
          <w:sz w:val="28"/>
        </w:rPr>
        <w:t>ПУНКТ 18 — Рентабельность издержек обращения (Рио)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чистой прибыли приходится на 1 рубль совокупных затрат.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Рио = ЧП / Сио × 100% (формула 2.16-а)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</w:t>
      </w:r>
    </w:p>
    <w:p>
      <w:pPr>
        <w:jc w:val="both"/>
      </w:pPr>
      <w:r>
        <w:rPr>
          <w:rFonts w:ascii="Times New Roman" w:hAnsi="Times New Roman"/>
          <w:sz w:val="24"/>
        </w:rPr>
        <w:t>Сио — совокупные затраты (себестоимость + управленческие расходы)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720 / 28 745 × 100% = 2,5 %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3 941 / 35 478 × 100% = 11,1 %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3 100 / 223 348 × 100% = 1,4 %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824 / 266 611 × 100% = 0,3 %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10 747 / 384 747 × 100% = 2,8 %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Рио,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11,1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рентабельность издержек колеблется от 0,3% (2024 г.) до 11,1% (2022 г.). Высокое значение в 2022 г. связано с особенностью отражения налога на прибыль в упрощённой отчётности (восстановление налоговых обязательств). Стабильные значения 1–3% в остальных периодах — норма для подрядчика ГОЗ с регулируемой государством наценкой.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Общий вывод по финансовому состоянию предприятия</w:t>
      </w:r>
    </w:p>
    <w:p>
      <w:pPr>
        <w:jc w:val="both"/>
      </w:pPr>
      <w:r>
        <w:rPr>
          <w:rFonts w:ascii="Times New Roman" w:hAnsi="Times New Roman"/>
          <w:sz w:val="24"/>
        </w:rPr>
        <w:t>ООО «РЕГИОНСПЕЦКОМ» — действующий подрядчик государственного оборонного заказа в сфере военного строительства. За период 2021–2025 гг. компания продемонстрировала исключительный рост: выручка увеличилась с 30 000 тыс. руб. в 2021 г. до 399 379 тыс. руб. в 2025 г. (в 13,3 раза), что отражает реальную рыночную ситуацию увеличения гособоронзаказа в 2022–2025 гг. Аналогично выросла валюта баланса — с 5 704 до 526 656 тыс. руб. (в 92 раза). Это объективный показатель масштабирования операционной деятельности.</w:t>
      </w:r>
    </w:p>
    <w:p>
      <w:pPr>
        <w:jc w:val="both"/>
      </w:pPr>
      <w:r>
        <w:rPr>
          <w:rFonts w:ascii="Times New Roman" w:hAnsi="Times New Roman"/>
          <w:sz w:val="24"/>
        </w:rPr>
        <w:t>Структура баланса носит ярко выраженные особенности, характерные для исполнителя ГОЗ: (1) высокая доля дебиторской задолженности (более 50% оборотных активов в 2024 г.) — связана с поэтапной приёмкой и оплатой работ Минобороны РФ; (2) значительные остатки на спецсчетах (5,8–56,5 млн руб. в 2023–2025 гг.) — требование ФЗ-275 о ведении расчётов по ГОЗ через уполномоченные банки; (3) рост незавершённого производства (с 0 до 227 358 тыс. руб.) — отражает многолетние строительные контракты в стадии исполнения; (4) высокая кредиторская задолженность — преимущественно авансы заказчика по графику контракта, а не банковские заимствования.</w:t>
      </w:r>
    </w:p>
    <w:p>
      <w:pPr>
        <w:jc w:val="both"/>
      </w:pPr>
      <w:r>
        <w:rPr>
          <w:rFonts w:ascii="Times New Roman" w:hAnsi="Times New Roman"/>
          <w:sz w:val="24"/>
        </w:rPr>
        <w:t>Низкая рентабельность по чистой прибыли (1,4–10,7% от выручки) — это не недостаток, а следствие государственного регулирования прибыли по ФЗ-275: плановая прибыль по контрактам ГОЗ ограничена коридором 1–20% от себестоимости контракта. Стабильно положительная чистая прибыль во всех периодах подтверждает корректное исполнение государственных контрактов. Темпы роста выручки 2022–2023 гг. (более чем в 6 раз) объясняются объективным фактором увеличения гособоронзаказа в условиях 2022–2023 гг.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Коэффициенты ликвидности и автономии формально не соответствуют классическим нормативам, но это типичная картина для подрядчика ГОЗ: краткосрочные обязательства компании фактически представляют целевые авансы государства, обеспеченные графиком финансирования и поэтапной сдачей работ. Платёжеспособность поддерживается не структурой пассивов, а гарантиями исполнения контрактов с МО РФ.</w:t>
      </w:r>
    </w:p>
    <w:p>
      <w:pPr>
        <w:jc w:val="both"/>
      </w:pPr>
      <w:r>
        <w:rPr>
          <w:rFonts w:ascii="Times New Roman" w:hAnsi="Times New Roman"/>
          <w:sz w:val="24"/>
        </w:rPr>
        <w:t>Главный риск для подрядчика ГОЗ — снижение объёмов гособоронзаказа в среднесрочной перспективе; основной фактор устойчивости — выполнение многолетних контрактов в срок и постоянное участие в открытых конкурсах. Положительные тренды последних двух лет (приобретение собственной строительной техники, рост чистой прибыли в 2025 г. до 10,7 млн руб.) свидетельствуют об укреплении финансовой устойчивости и долгосрочной перспективе компании на рынке военного строительства.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