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Организационная структура предприятия ООО «РЕГИОНСПЕЦКОМ»</w:t>
      </w:r>
    </w:p>
    <w:p>
      <w:pPr>
        <w:spacing w:before="120" w:after="0"/>
        <w:jc w:val="center"/>
      </w:pPr>
      <w:r>
        <w:rPr>
          <w:rFonts w:ascii="Times New Roman" w:hAnsi="Times New Roman"/>
          <w:i/>
          <w:sz w:val="24"/>
        </w:rPr>
        <w:t>(построена на основе действующего штатного расписания на 8 мая 2026 г.)</w:t>
      </w:r>
    </w:p>
    <w:p>
      <w:pPr>
        <w:spacing w:after="0" w:before="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cantSplit/>
        </w:trPr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484"/>
            <w:gridSpan w:val="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Генеральный директор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(1)</w:t>
            </w:r>
          </w:p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108000" w:hRule="atLeast"/>
          <w:cantSplit/>
        </w:trPr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cantSplit/>
        </w:trPr>
        <w:tc>
          <w:tcPr>
            <w:tcW w:type="dxa" w:w="3742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EEB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Главный бухгалтер (1)</w:t>
            </w:r>
          </w:p>
        </w:tc>
        <w:tc>
          <w:tcPr>
            <w:tcW w:type="dxa" w:w="3742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EEB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Коммерческий директор (2)</w:t>
            </w:r>
          </w:p>
        </w:tc>
        <w:tc>
          <w:tcPr>
            <w:tcW w:type="dxa" w:w="3742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EEB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Заместитель директора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 строительству (1)</w:t>
            </w:r>
          </w:p>
        </w:tc>
        <w:tc>
          <w:tcPr>
            <w:tcW w:type="dxa" w:w="3742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EEB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Заместитель директора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 общим вопросам (1)</w:t>
            </w:r>
          </w:p>
        </w:tc>
      </w:tr>
      <w:tr>
        <w:trPr>
          <w:cantSplit/>
        </w:trPr>
        <w:tc>
          <w:tcPr>
            <w:tcW w:type="dxa" w:w="3742"/>
            <w:gridSpan w:val="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Финансово-экономический блок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Бухгалтер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Экономист (1)</w:t>
            </w:r>
          </w:p>
        </w:tc>
        <w:tc>
          <w:tcPr>
            <w:tcW w:type="dxa" w:w="3742"/>
            <w:gridSpan w:val="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Договорно-правовой блок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Юрист (1)</w:t>
            </w:r>
          </w:p>
        </w:tc>
        <w:tc>
          <w:tcPr>
            <w:tcW w:type="dxa" w:w="3742"/>
            <w:gridSpan w:val="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Строительное подразделение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Главный инженер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Руководитель проекта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Начальник ПТО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Начальник отдела снабжения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Начальник строительного участка (2)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Начальник участка по инженерным сетям (1)</w:t>
            </w:r>
          </w:p>
        </w:tc>
        <w:tc>
          <w:tcPr>
            <w:tcW w:type="dxa" w:w="3742"/>
            <w:gridSpan w:val="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Административно-хозяйственный блок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Главный механик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Кладовщик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Машинист автомобильного крана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Машинист самоходной машины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Механик-водитель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Водитель (1)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27"/>
        <w:gridCol w:w="4827"/>
        <w:gridCol w:w="4827"/>
      </w:tblGrid>
      <w:tr>
        <w:trPr>
          <w:cantSplit/>
        </w:trPr>
        <w:tc>
          <w:tcPr>
            <w:tcW w:type="dxa" w:w="14967"/>
            <w:gridSpan w:val="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Производственно-технические специалисты и ЛИТР строительных участков</w:t>
            </w:r>
          </w:p>
        </w:tc>
      </w:tr>
      <w:tr>
        <w:trPr>
          <w:cantSplit/>
        </w:trPr>
        <w:tc>
          <w:tcPr>
            <w:tcW w:type="dxa" w:w="498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Производственно-технический отдел (ПТО)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Заместитель начальника ПТО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Ведущий инженер ПТО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Инженер ПТО (2)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Техник ПТО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Инженер-сметчик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Геодезист (2)</w:t>
            </w:r>
          </w:p>
        </w:tc>
        <w:tc>
          <w:tcPr>
            <w:tcW w:type="dxa" w:w="498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Отдел снабжения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Инженер по снабжению (1)</w:t>
            </w:r>
          </w:p>
        </w:tc>
        <w:tc>
          <w:tcPr>
            <w:tcW w:type="dxa" w:w="498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Линейные ИТР строительных участков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Производитель работ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Мастер строительных работ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Мастер-монтажник (1)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40"/>
        <w:gridCol w:w="7240"/>
      </w:tblGrid>
      <w:tr>
        <w:trPr>
          <w:cantSplit/>
        </w:trPr>
        <w:tc>
          <w:tcPr>
            <w:tcW w:type="dxa" w:w="15308"/>
            <w:gridSpan w:val="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Рабочие специальности (производственный персонал участков)</w:t>
            </w:r>
          </w:p>
        </w:tc>
      </w:tr>
      <w:tr>
        <w:trPr>
          <w:cantSplit/>
        </w:trPr>
        <w:tc>
          <w:tcPr>
            <w:tcW w:type="dxa" w:w="765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Сварочно-монтажная бригада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Электросварщик ручной сварки (2)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Электросварщик (5 разряд)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Электрогазосварщик ручной сварки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Сварщик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Слесарь-монтажник (1)</w:t>
            </w:r>
          </w:p>
        </w:tc>
        <w:tc>
          <w:tcPr>
            <w:tcW w:type="dxa" w:w="7654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Общестроительная и отделочная бригады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Плотник (2)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Бетонщик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Маляр (10)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Штукатур-маляр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Штукатур (3)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Плиточник (1)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Подсобный рабочий (5)</w:t>
            </w:r>
          </w:p>
          <w:p>
            <w:pPr>
              <w:spacing w:after="0"/>
              <w:ind w:left="113"/>
              <w:jc w:val="left"/>
            </w:pPr>
            <w:r>
              <w:rPr>
                <w:rFonts w:ascii="Times New Roman" w:hAnsi="Times New Roman"/>
                <w:sz w:val="18"/>
              </w:rPr>
              <w:t>• Разнорабочий (30)</w:t>
            </w:r>
          </w:p>
        </w:tc>
      </w:tr>
    </w:tbl>
    <w:p>
      <w:pPr>
        <w:spacing w:before="160"/>
        <w:jc w:val="center"/>
      </w:pPr>
      <w:r>
        <w:rPr>
          <w:rFonts w:ascii="Times New Roman" w:hAnsi="Times New Roman"/>
          <w:i/>
          <w:sz w:val="20"/>
        </w:rPr>
        <w:t>Итого штатных единиц по предприятию: 93 (фактически 94,5 — с учётом штатных единиц на 0,5 ставки), в том числе руководители и ИТР — 24, рабочие — 69.</w:t>
      </w:r>
    </w:p>
    <w:p>
      <w:pPr>
        <w:spacing w:before="160"/>
        <w:jc w:val="center"/>
      </w:pPr>
      <w:r>
        <w:rPr>
          <w:rFonts w:ascii="Times New Roman" w:hAnsi="Times New Roman"/>
          <w:i/>
          <w:sz w:val="24"/>
        </w:rPr>
        <w:t>Рис. 2.1. Организационная структура управления ООО «РЕГИОНСПЕЦКОМ»</w:t>
      </w:r>
    </w:p>
    <w:sectPr w:rsidR="00FC693F" w:rsidRPr="0006063C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