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5C572D">
        <w:trPr>
          <w:jc w:val="center"/>
        </w:trPr>
        <w:tc>
          <w:tcPr>
            <w:tcW w:w="4508" w:type="dxa"/>
          </w:tcPr>
          <w:p w:rsidR="005C572D" w:rsidRDefault="004E274E">
            <w:pPr>
              <w:rPr>
                <w:rFonts w:ascii="Arial" w:eastAsia="Arial" w:hAnsi="Arial" w:cs="Arial"/>
              </w:rPr>
            </w:pPr>
            <w:r>
              <w:rPr>
                <w:rFonts w:ascii="Arial" w:eastAsia="Arial" w:hAnsi="Arial" w:cs="Arial"/>
              </w:rPr>
              <w:t>Date</w:t>
            </w:r>
          </w:p>
        </w:tc>
        <w:tc>
          <w:tcPr>
            <w:tcW w:w="4843" w:type="dxa"/>
          </w:tcPr>
          <w:p w:rsidR="005C572D" w:rsidRDefault="005C572D">
            <w:pPr>
              <w:rPr>
                <w:rFonts w:ascii="Arial" w:eastAsia="Arial" w:hAnsi="Arial" w:cs="Arial"/>
              </w:rPr>
            </w:pP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Team ID</w:t>
            </w:r>
          </w:p>
        </w:tc>
        <w:tc>
          <w:tcPr>
            <w:tcW w:w="4843" w:type="dxa"/>
          </w:tcPr>
          <w:p w:rsidR="005C572D" w:rsidRDefault="00A21181">
            <w:pPr>
              <w:rPr>
                <w:rFonts w:ascii="Arial" w:eastAsia="Arial" w:hAnsi="Arial" w:cs="Arial"/>
              </w:rPr>
            </w:pPr>
            <w:r>
              <w:rPr>
                <w:rFonts w:ascii="Arial" w:eastAsia="Arial" w:hAnsi="Arial" w:cs="Arial"/>
              </w:rPr>
              <w:t>Master of Computer Application</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Project Name</w:t>
            </w:r>
          </w:p>
        </w:tc>
        <w:tc>
          <w:tcPr>
            <w:tcW w:w="4843" w:type="dxa"/>
          </w:tcPr>
          <w:p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Maximum Marks</w:t>
            </w:r>
          </w:p>
        </w:tc>
        <w:tc>
          <w:tcPr>
            <w:tcW w:w="4843" w:type="dxa"/>
          </w:tcPr>
          <w:p w:rsidR="005C572D" w:rsidRDefault="004E274E">
            <w:pPr>
              <w:rPr>
                <w:rFonts w:ascii="Arial" w:eastAsia="Arial" w:hAnsi="Arial" w:cs="Arial"/>
              </w:rPr>
            </w:pPr>
            <w:r>
              <w:rPr>
                <w:rFonts w:ascii="Arial" w:eastAsia="Arial" w:hAnsi="Arial" w:cs="Arial"/>
              </w:rPr>
              <w:t>5 Marks</w:t>
            </w:r>
          </w:p>
        </w:tc>
      </w:tr>
    </w:tbl>
    <w:p w:rsidR="005C572D" w:rsidRDefault="005C572D">
      <w:pPr>
        <w:rPr>
          <w:rFonts w:ascii="Cambria" w:eastAsia="Cambria" w:hAnsi="Cambria" w:cs="Cambria"/>
          <w:b/>
          <w:color w:val="000000"/>
          <w:sz w:val="32"/>
          <w:szCs w:val="32"/>
        </w:rPr>
      </w:pPr>
    </w:p>
    <w:p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w:t>
      </w:r>
      <w:r>
        <w:rPr>
          <w:rFonts w:ascii="Cambria" w:eastAsia="Cambria" w:hAnsi="Cambria" w:cs="Cambria"/>
          <w:color w:val="000000"/>
          <w:sz w:val="24"/>
          <w:szCs w:val="24"/>
        </w:rPr>
        <w:t>eractive dashboards that show how students engage with the learning platform and how that engagement relates to their academic performance. The dataset includes region, gender, highest education, engagement level, risk level, total clicks and final result,</w:t>
      </w:r>
      <w:r>
        <w:rPr>
          <w:rFonts w:ascii="Cambria" w:eastAsia="Cambria" w:hAnsi="Cambria" w:cs="Cambria"/>
          <w:color w:val="000000"/>
          <w:sz w:val="24"/>
          <w:szCs w:val="24"/>
        </w:rPr>
        <w:t xml:space="preserve"> together with measures such as Total Students, Average Score, Pass Rate, Dropout Rate and Average Clicks. Selecting appropriate visual elements, designing clear layouts and using interactive features such as decomposition trees helps instructors, advisers</w:t>
      </w:r>
      <w:r>
        <w:rPr>
          <w:rFonts w:ascii="Cambria" w:eastAsia="Cambria" w:hAnsi="Cambria" w:cs="Cambria"/>
          <w:color w:val="000000"/>
          <w:sz w:val="24"/>
          <w:szCs w:val="24"/>
        </w:rPr>
        <w:t xml:space="preserve"> and managers identify learners who need support and act early.</w:t>
      </w:r>
    </w:p>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w:t>
      </w:r>
      <w:r>
        <w:rPr>
          <w:rFonts w:ascii="Cambria" w:eastAsia="Cambria" w:hAnsi="Cambria" w:cs="Cambria"/>
          <w:color w:val="000000"/>
          <w:sz w:val="24"/>
          <w:szCs w:val="24"/>
        </w:rPr>
        <w:t>he visualization used, the fields behind it, a screenshot taken from the dashboards, and the insight and business value it provides. The visuals come from two dashboards: Student Performance &amp; Engagement Overview and Risk, Dropout &amp; Demographic Analysis.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w:t>
      </w:r>
      <w:r w:rsidRPr="00A21181">
        <w:rPr>
          <w:rFonts w:ascii="Cambria" w:eastAsia="Cambria" w:hAnsi="Cambria" w:cs="Cambria"/>
          <w:b/>
          <w:bCs/>
          <w:color w:val="000000"/>
          <w:sz w:val="32"/>
          <w:szCs w:val="32"/>
        </w:rPr>
        <w:t>ow are students distributed across engagement levels?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t>
      </w:r>
      <w:r w:rsidRPr="00A21181">
        <w:rPr>
          <w:rFonts w:ascii="Cambria" w:eastAsia="Cambria" w:hAnsi="Cambria" w:cs="Cambria"/>
          <w:color w:val="000000"/>
          <w:sz w:val="32"/>
          <w:szCs w:val="32"/>
        </w:rPr>
        <w:t>w, so about two-thirds of learners are not fully engaged with their course.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w:t>
      </w:r>
      <w:r w:rsidRPr="00A21181">
        <w:rPr>
          <w:rFonts w:ascii="Cambria" w:eastAsia="Cambria" w:hAnsi="Cambria" w:cs="Cambria"/>
          <w:b/>
          <w:bCs/>
          <w:color w:val="000000"/>
          <w:sz w:val="32"/>
          <w:szCs w:val="32"/>
        </w:rPr>
        <w:t>s) does each engagement level generate?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w:t>
      </w:r>
      <w:r w:rsidRPr="00A21181">
        <w:rPr>
          <w:rFonts w:ascii="Cambria" w:eastAsia="Cambria" w:hAnsi="Cambria" w:cs="Cambria"/>
          <w:i/>
          <w:iCs/>
          <w:color w:val="000000"/>
          <w:sz w:val="32"/>
          <w:szCs w:val="32"/>
        </w:rPr>
        <w:t>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w:t>
      </w:r>
      <w:r w:rsidRPr="00A21181">
        <w:rPr>
          <w:rFonts w:ascii="Cambria" w:eastAsia="Cambria" w:hAnsi="Cambria" w:cs="Cambria"/>
          <w:color w:val="000000"/>
          <w:sz w:val="32"/>
          <w:szCs w:val="32"/>
        </w:rPr>
        <w:t xml:space="preserve">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w:t>
      </w:r>
      <w:r w:rsidRPr="00A21181">
        <w:rPr>
          <w:rFonts w:ascii="Cambria" w:eastAsia="Cambria" w:hAnsi="Cambria" w:cs="Cambria"/>
          <w:color w:val="000000"/>
          <w:sz w:val="32"/>
          <w:szCs w:val="32"/>
        </w:rPr>
        <w:t>stered column chart showing Total Students by final result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w:t>
      </w:r>
      <w:proofErr w:type="gramStart"/>
      <w:r w:rsidRPr="00A21181">
        <w:rPr>
          <w:rFonts w:ascii="Cambria" w:eastAsia="Cambria" w:hAnsi="Cambria" w:cs="Cambria"/>
          <w:color w:val="000000"/>
          <w:sz w:val="32"/>
          <w:szCs w:val="32"/>
        </w:rPr>
        <w:t>Pass</w:t>
      </w:r>
      <w:proofErr w:type="gramEnd"/>
      <w:r w:rsidRPr="00A21181">
        <w:rPr>
          <w:rFonts w:ascii="Cambria" w:eastAsia="Cambria" w:hAnsi="Cambria" w:cs="Cambria"/>
          <w:color w:val="000000"/>
          <w:sz w:val="32"/>
          <w:szCs w:val="32"/>
        </w:rPr>
        <w:t xml:space="preserve">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w:t>
      </w:r>
      <w:r w:rsidRPr="00A21181">
        <w:rPr>
          <w:rFonts w:ascii="Cambria" w:eastAsia="Cambria" w:hAnsi="Cambria" w:cs="Cambria"/>
          <w:color w:val="000000"/>
          <w:sz w:val="32"/>
          <w:szCs w:val="32"/>
        </w:rPr>
        <w:t>her are almost as large as Pass, so course completion and retention are the biggest opportunities for improvement.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t>
      </w:r>
      <w:r w:rsidRPr="00A21181">
        <w:rPr>
          <w:rFonts w:ascii="Cambria" w:eastAsia="Cambria" w:hAnsi="Cambria" w:cs="Cambria"/>
          <w:color w:val="000000"/>
          <w:sz w:val="32"/>
          <w:szCs w:val="32"/>
        </w:rPr>
        <w:t xml:space="preserve">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w:t>
      </w:r>
      <w:r w:rsidRPr="00A21181">
        <w:rPr>
          <w:rFonts w:ascii="Cambria" w:eastAsia="Cambria" w:hAnsi="Cambria" w:cs="Cambria"/>
          <w:color w:val="000000"/>
          <w:sz w:val="32"/>
          <w:szCs w:val="32"/>
        </w:rPr>
        <w:t>ch supports prioritising measures that raise engagement.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w:t>
      </w:r>
      <w:r w:rsidRPr="00A21181">
        <w:rPr>
          <w:rFonts w:ascii="Cambria" w:eastAsia="Cambria" w:hAnsi="Cambria" w:cs="Cambria"/>
          <w:color w:val="000000"/>
          <w:sz w:val="32"/>
          <w:szCs w:val="32"/>
        </w:rPr>
        <w:t>is – region (13 regions); Values – Average Score.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w:t>
      </w:r>
      <w:r w:rsidRPr="00A21181">
        <w:rPr>
          <w:rFonts w:ascii="Cambria" w:eastAsia="Cambria" w:hAnsi="Cambria" w:cs="Cambria"/>
          <w:i/>
          <w:iCs/>
          <w:color w:val="000000"/>
          <w:sz w:val="32"/>
          <w:szCs w:val="32"/>
        </w:rPr>
        <w:t>on</w:t>
      </w:r>
      <w:r w:rsidRPr="00A21181">
        <w:rPr>
          <w:rFonts w:ascii="Cambria" w:eastAsia="Cambria" w:hAnsi="Cambria" w:cs="Cambria"/>
          <w:color w:val="000000"/>
          <w:sz w:val="32"/>
          <w:szCs w:val="32"/>
        </w:rPr>
        <w:t>: Pie chart showing Total Students by risk level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w:t>
      </w:r>
      <w:r w:rsidRPr="00A21181">
        <w:rPr>
          <w:rFonts w:ascii="Cambria" w:eastAsia="Cambria" w:hAnsi="Cambria" w:cs="Cambria"/>
          <w:color w:val="000000"/>
          <w:sz w:val="32"/>
          <w:szCs w:val="32"/>
        </w:rPr>
        <w:t xml:space="preserve">(27.2%),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w:t>
      </w:r>
      <w:r w:rsidRPr="00A21181">
        <w:rPr>
          <w:rFonts w:ascii="Cambria" w:eastAsia="Cambria" w:hAnsi="Cambria" w:cs="Cambria"/>
          <w:color w:val="000000"/>
          <w:sz w:val="32"/>
          <w:szCs w:val="32"/>
        </w:rPr>
        <w:t>isk groups to contact first.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w:t>
      </w:r>
      <w:r w:rsidRPr="00A21181">
        <w:rPr>
          <w:rFonts w:ascii="Cambria" w:eastAsia="Cambria" w:hAnsi="Cambria" w:cs="Cambria"/>
          <w:color w:val="000000"/>
          <w:sz w:val="32"/>
          <w:szCs w:val="32"/>
        </w:rPr>
        <w:t xml:space="preserv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xml:space="preserve">: Analyze – Total Students; Explain by – risk level, highest education, gender, </w:t>
      </w:r>
      <w:proofErr w:type="gramStart"/>
      <w:r w:rsidRPr="00A21181">
        <w:rPr>
          <w:rFonts w:ascii="Cambria" w:eastAsia="Cambria" w:hAnsi="Cambria" w:cs="Cambria"/>
          <w:color w:val="000000"/>
          <w:sz w:val="32"/>
          <w:szCs w:val="32"/>
        </w:rPr>
        <w:t>region</w:t>
      </w:r>
      <w:proofErr w:type="gramEnd"/>
      <w:r w:rsidRPr="00A21181">
        <w:rPr>
          <w:rFonts w:ascii="Cambria" w:eastAsia="Cambria" w:hAnsi="Cambria" w:cs="Cambria"/>
          <w:color w:val="000000"/>
          <w:sz w:val="32"/>
          <w:szCs w:val="32"/>
        </w:rPr>
        <w: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w:t>
      </w:r>
      <w:r w:rsidRPr="00A21181">
        <w:rPr>
          <w:rFonts w:ascii="Cambria" w:eastAsia="Cambria" w:hAnsi="Cambria" w:cs="Cambria"/>
          <w:b/>
          <w:bCs/>
          <w:color w:val="000000"/>
          <w:sz w:val="32"/>
          <w:szCs w:val="32"/>
        </w:rPr>
        <w:t xml:space="preserve">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w:t>
      </w:r>
      <w:r w:rsidRPr="00A21181">
        <w:rPr>
          <w:rFonts w:ascii="Cambria" w:eastAsia="Cambria" w:hAnsi="Cambria" w:cs="Cambria"/>
          <w:b/>
          <w:bCs/>
          <w:color w:val="000000"/>
          <w:sz w:val="32"/>
          <w:szCs w:val="32"/>
        </w:rPr>
        <w:t>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w:t>
      </w:r>
      <w:r w:rsidRPr="00A21181">
        <w:rPr>
          <w:rFonts w:ascii="Cambria" w:eastAsia="Cambria" w:hAnsi="Cambria" w:cs="Cambria"/>
          <w:color w:val="000000"/>
          <w:sz w:val="32"/>
          <w:szCs w:val="32"/>
        </w:rPr>
        <w:t xml:space="preserve">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w:t>
      </w:r>
      <w:r w:rsidRPr="00A21181">
        <w:rPr>
          <w:rFonts w:ascii="Cambria" w:eastAsia="Cambria" w:hAnsi="Cambria" w:cs="Cambria"/>
          <w:b/>
          <w:bCs/>
          <w:color w:val="000000"/>
          <w:sz w:val="32"/>
          <w:szCs w:val="32"/>
        </w:rPr>
        <w:t>mes</w:t>
      </w:r>
      <w:r w:rsidRPr="00A21181">
        <w:rPr>
          <w:rFonts w:ascii="Cambria" w:eastAsia="Cambria" w:hAnsi="Cambria" w:cs="Cambria"/>
          <w:color w:val="000000"/>
          <w:sz w:val="32"/>
          <w:szCs w:val="32"/>
        </w:rPr>
        <w:t xml:space="preserve"> as often as post-graduates.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The pass rate rises with prior education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w:t>
      </w:r>
      <w:r w:rsidRPr="00A21181">
        <w:rPr>
          <w:rFonts w:ascii="Cambria" w:eastAsia="Cambria" w:hAnsi="Cambria" w:cs="Cambria"/>
          <w:color w:val="000000"/>
          <w:sz w:val="32"/>
          <w:szCs w:val="32"/>
        </w:rPr>
        <w:t>d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Outcome patterns are broadly similar, but female students do slightly be</w:t>
      </w:r>
      <w:r w:rsidRPr="00A21181">
        <w:rPr>
          <w:rFonts w:ascii="Cambria" w:eastAsia="Cambria" w:hAnsi="Cambria" w:cs="Cambria"/>
          <w:color w:val="000000"/>
          <w:sz w:val="32"/>
          <w:szCs w:val="32"/>
        </w:rPr>
        <w:t xml:space="preserv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00"/>
        <w:gridCol w:w="3900"/>
        <w:gridCol w:w="2926"/>
        <w:gridCol w:w="1600"/>
      </w:tblGrid>
      <w:tr w:rsidR="00451910" w:rsidRPr="00A21181">
        <w:trPr>
          <w:cantSplit/>
          <w:tblHeader/>
        </w:trPr>
        <w:tc>
          <w:tcPr>
            <w:tcW w:w="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3</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w:t>
            </w:r>
            <w:r w:rsidRPr="00A21181">
              <w:rPr>
                <w:rFonts w:ascii="Cambria" w:eastAsia="Cambria" w:hAnsi="Cambria" w:cs="Cambria"/>
                <w:color w:val="000000"/>
                <w:sz w:val="32"/>
                <w:szCs w:val="32"/>
              </w:rPr>
              <w:t>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ten visualisations show that student engagement is closely linked to performance in this online learning programme. Only about a third of students are highly engaged, yet they generate around three-quarters of all clicks and fail or withdraw about half</w:t>
      </w:r>
      <w:r>
        <w:rPr>
          <w:rFonts w:ascii="Cambria" w:eastAsia="Cambria" w:hAnsi="Cambria" w:cs="Cambria"/>
          <w:color w:val="000000"/>
          <w:sz w:val="24"/>
          <w:szCs w:val="24"/>
        </w:rPr>
        <w:t xml:space="preserve"> as often as students overall. Prior education, not region, is the clearest divider in dropout and pass rates, and nearly half of all students are at High or Very High risk. Together, these findings point to early engagement monitoring and targeted support</w:t>
      </w:r>
      <w:r>
        <w:rPr>
          <w:rFonts w:ascii="Cambria" w:eastAsia="Cambria" w:hAnsi="Cambria" w:cs="Cambria"/>
          <w:color w:val="000000"/>
          <w:sz w:val="24"/>
          <w:szCs w:val="24"/>
        </w:rPr>
        <w:t xml:space="preserve"> for learners with lower prior qualifications as the most effective ways to improve completion and success.</w:t>
      </w:r>
    </w:p>
    <w:p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drawingGridHorizontalSpacing w:val="110"/>
  <w:displayHorizontalDrawingGridEvery w:val="2"/>
  <w:characterSpacingControl w:val="doNotCompress"/>
  <w:savePreviewPicture/>
  <w:compat/>
  <w:rsids>
    <w:rsidRoot w:val="005C572D"/>
    <w:rsid w:val="001C6F0B"/>
    <w:rsid w:val="00451910"/>
    <w:rsid w:val="004E274E"/>
    <w:rsid w:val="005C572D"/>
    <w:rsid w:val="00831BD2"/>
    <w:rsid w:val="00846084"/>
    <w:rsid w:val="00A21181"/>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1604</Words>
  <Characters>9146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2</cp:revision>
  <dcterms:created xsi:type="dcterms:W3CDTF">2026-09-19T06:00:00Z</dcterms:created>
  <dcterms:modified xsi:type="dcterms:W3CDTF">2026-09-19T06:00:00Z</dcterms:modified>
</cp:coreProperties>
</file>