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6"/>
          <w:szCs w:val="36"/>
          <w:rtl w:val="0"/>
        </w:rPr>
        <w:t xml:space="preserve">Tecnologías del Proyecto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b w:val="1"/>
          <w:i w:val="0"/>
          <w:color w:val="1b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A continuación, se detalla el conjunto de tecnologías, lenguajes y herramientas seleccionadas para el análisis, diseño, desarrollo y despliegue de la plataforma de e-commerce TechTop.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Python (Versión 3.9+):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Lenguaje de programación principal sobre el que se construirá toda la lógica del servidor. Se eligió por su sintaxis clara, su robusto ecosistema y su perfecta integración con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Django (Versión 4.x):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Framework de alto nivel para el desarrollo rápido y seguro de aplicaciones web. Proporcionará la estructura MVT (Modelo-Vista-Plantilla), el ORM para la gestión de la base de datos y el panel de administración.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Django REST Framework: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Librería que se utilizará para construir la API RESTful. Facilitará la comunicación estandarizada entre el backend y el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Lenguaje de marcado estándar para la creación y estructuración del contenido de las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CSS3: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Lenguaje de hojas de estilo utilizado para el diseño visual, la maquetación y la personalización de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JavaScript: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Lenguaje de programación del lado del cliente que se usará para añadir interactividad, validar formularios y manejar eventos dinámicos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Base de Datos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PostgreSQL (Versión 14+):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Sistema de gestión de bases de datos relacional de código abierto. Se seleccionó por su fiabilidad, robustez y características avanzadas que aseguran la integridad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line="275.9999942779541" w:lineRule="auto"/>
        <w:rPr/>
      </w:pPr>
      <w:bookmarkStart w:colFirst="0" w:colLast="0" w:name="_heading=h.hkghz1ajye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275.9999942779541" w:lineRule="auto"/>
        <w:rPr/>
      </w:pPr>
      <w:bookmarkStart w:colFirst="0" w:colLast="0" w:name="_heading=h.9v818aeftw7v" w:id="1"/>
      <w:bookmarkEnd w:id="1"/>
      <w:r w:rsidDel="00000000" w:rsidR="00000000" w:rsidRPr="00000000">
        <w:rPr>
          <w:rtl w:val="0"/>
        </w:rPr>
        <w:t xml:space="preserve">Alojamiento de Base de Datos (Cloud):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Para el entorno de producción, la base de datos se desplegará en un servicio gestionado en la nube. Las opciones consideradas son </w:t>
      </w: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ElephantSQL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Heroku Postgres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Amazon RDS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, dependiendo de la facilidad de integración y los requerimientos finales del despliegue.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heading=h.sx1g8wlgpzk4" w:id="2"/>
      <w:bookmarkEnd w:id="2"/>
      <w:r w:rsidDel="00000000" w:rsidR="00000000" w:rsidRPr="00000000">
        <w:rPr>
          <w:rtl w:val="0"/>
        </w:rPr>
        <w:t xml:space="preserve">Estrategia SEO (Search Engine Optimization)</w:t>
      </w:r>
    </w:p>
    <w:p w:rsidR="00000000" w:rsidDel="00000000" w:rsidP="00000000" w:rsidRDefault="00000000" w:rsidRPr="00000000" w14:paraId="00000018">
      <w:pPr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Para garantizar un posicionamiento orgánico efectivo, el proyecto implementará una estrategia de SEO técnico integral, utilizando las siguientes prácticas: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Generación de Sitemaps: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 utilizará el framework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django.contrib.sitemaps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para crear y mantener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sitemap.xml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actualizado, facilitando la indexación del sitio por parte de los motores de búsqueda.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URLs Semánticas: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Las rutas de la aplicación se construirán utilizando "slugs" para que sean descriptivas y amigables con el SEO.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Gestión de Meta Tags: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Las etiquetas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 name="description"&gt;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 generarán dinámicamente para cada página desde el backend, asegurando contenido único y relevante.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Implementación de Datos Estructurados: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 añadirán datos estructurados (Schema.org en formato JSON-LD) a las páginas de productos para habilitar la visualización de "rich results" en los buscadores.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line="275.9999942779541" w:lineRule="auto"/>
        <w:ind w:left="720" w:hanging="360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Configuración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robots.txt</w:t>
      </w: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 creará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para controlar el acceso de los crawlers de búsqueda a las distintas secciones del sitio.</w:t>
      </w:r>
    </w:p>
    <w:p w:rsidR="00000000" w:rsidDel="00000000" w:rsidP="00000000" w:rsidRDefault="00000000" w:rsidRPr="00000000" w14:paraId="0000001E">
      <w:pPr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Diseño y Planificación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Figma: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Herramienta de diseño de interfaces utilizada para la creación de los mockups de alta fidelidad y el prototipado visual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Microsoft Visio / lucidchart: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Software utilizado para la creación de todos los diagramas de modelado del sistema, incluyendo UML (Casos de Uso, Clases, Actividad) y BPMN.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8"/>
          <w:szCs w:val="28"/>
          <w:rtl w:val="0"/>
        </w:rPr>
        <w:t xml:space="preserve">Control de Versiones y Despliegue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Git: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Sistema de control de versiones distribuido para el seguimiento de los cambios en el código fuente durante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Plataforma de alojamiento para los repositorios de Git, utilizada para la colaboración y gestión del código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Plataforma de Despliegue (Cloud):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 utilizará una plataforma como Heroku, PythonAnywhere o un servicio de AWS para el despliegue final de la aplicación en un entorno de producción.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raOkeia0runji4R+noa/EzsJg==">CgMxLjAyDmguaGtnaHoxYWp5ZXlpMg5oLjl2ODE4YWVmdHc3djIOaC5zeDFnOHdsZ3B6azQ4AHIhMXMyMU5xYTVqQUVlVjJFdlI3NzBaTFZRTlVTZ0xzTG0y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