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HIRFAH — AD-UI-01</w:t>
      </w:r>
    </w:p>
    <w:p>
      <w:pPr>
        <w:jc w:val="right"/>
        <w:bidi w:val="1"/>
      </w:pPr>
      <w:r>
        <w:rPr>
          <w:b/>
        </w:rPr>
        <w:t>مواصفات Admin Layout والمكونات المشتركة | نسخة مراجعة v0.1 | 09 أكتوبر 2026</w:t>
      </w:r>
    </w:p>
    <w:p>
      <w:pPr>
        <w:jc w:val="right"/>
        <w:bidi w:val="1"/>
      </w:pPr>
      <w:r>
        <w:rPr>
          <w:b w:val="0"/>
        </w:rPr>
        <w:t>الحالة: القرارات التصميمية DEC-AD-UI-01 إلى DEC-AD-UI-16 معتمدة في المحادثة. الوثيقة نفسها مسودة للمراجعة النهائية؛ لا تسمح بالتنفيذ قبل الموافقة عليها.</w:t>
      </w:r>
    </w:p>
    <w:p>
      <w:pPr>
        <w:pStyle w:val="Heading2"/>
        <w:jc w:val="right"/>
        <w:bidi w:val="1"/>
      </w:pPr>
      <w:r>
        <w:t>1. الهدف والنطاق</w:t>
      </w:r>
    </w:p>
    <w:p>
      <w:pPr>
        <w:jc w:val="right"/>
        <w:bidi w:val="1"/>
      </w:pPr>
      <w:r>
        <w:rPr>
          <w:b w:val="0"/>
        </w:rPr>
        <w:t>تحسين واجهة لوحة الإدارة الحالية مع الحفاظ على بنيتها ومساراتها وصلاحياتها وقواعد أعمالها. يشمل النطاق الهيكل المشترك، التنقل، اللغة والاتجاه، الهوية البصرية، الجداول، النماذج، التغذية الراجعة، التجاوب وإمكانية الوصول. لا يشمل بناء وظائف Backend جديدة أو إضافة صفحات غير منفذة.</w:t>
      </w:r>
    </w:p>
    <w:p>
      <w:pPr>
        <w:pStyle w:val="Heading2"/>
        <w:jc w:val="right"/>
        <w:bidi w:val="1"/>
      </w:pPr>
      <w:r>
        <w:t>2. سجل القرارات المعتمدة</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right"/>
              <w:bidi w:val="1"/>
            </w:pPr>
            <w:r>
              <w:t>DEC-AD-UI-01 — اللغة والاتجاه</w:t>
            </w:r>
          </w:p>
        </w:tc>
        <w:tc>
          <w:tcPr>
            <w:tcW w:type="dxa" w:w="4320"/>
          </w:tcPr>
          <w:p>
            <w:pPr>
              <w:jc w:val="right"/>
              <w:bidi w:val="1"/>
            </w:pPr>
            <w:r>
              <w:t>العربية افتراضيًا والإنجليزية مدعومة؛ RTL/LTR يتحدد قبل العرض، مع حفظ اختيار اللغة وتجنب افتراض أن اللغات محصورة بهما.</w:t>
            </w:r>
          </w:p>
        </w:tc>
      </w:tr>
      <w:tr>
        <w:tc>
          <w:tcPr>
            <w:tcW w:type="dxa" w:w="4320"/>
          </w:tcPr>
          <w:p>
            <w:pPr>
              <w:jc w:val="right"/>
              <w:bidi w:val="1"/>
            </w:pPr>
            <w:r>
              <w:t>DEC-AD-UI-02 — تنظيم Sidebar</w:t>
            </w:r>
          </w:p>
        </w:tc>
        <w:tc>
          <w:tcPr>
            <w:tcW w:type="dxa" w:w="4320"/>
          </w:tcPr>
          <w:p>
            <w:pPr>
              <w:jc w:val="right"/>
              <w:bidi w:val="1"/>
            </w:pPr>
            <w:r>
              <w:t>مجموعات بعناوين ثابتة؛ عناصرها ظاهرة دون Accordion؛ تعرض الروابط المسموح بها والمنفذة فقط.</w:t>
            </w:r>
          </w:p>
        </w:tc>
      </w:tr>
      <w:tr>
        <w:tc>
          <w:tcPr>
            <w:tcW w:type="dxa" w:w="4320"/>
          </w:tcPr>
          <w:p>
            <w:pPr>
              <w:jc w:val="right"/>
              <w:bidi w:val="1"/>
            </w:pPr>
            <w:r>
              <w:t>DEC-AD-UI-03 — Header</w:t>
            </w:r>
          </w:p>
        </w:tc>
        <w:tc>
          <w:tcPr>
            <w:tcW w:type="dxa" w:w="4320"/>
          </w:tcPr>
          <w:p>
            <w:pPr>
              <w:jc w:val="right"/>
              <w:bidi w:val="1"/>
            </w:pPr>
            <w:r>
              <w:t>هيدر بسيط بعنوان الصفحة، تبديل اللغة، حساب المشرف، وإشعارات فقط إن كانت الوظيفة متاحة؛ دون Breadcrumb دائم أو أدوات قالب تجريبية.</w:t>
            </w:r>
          </w:p>
        </w:tc>
      </w:tr>
      <w:tr>
        <w:tc>
          <w:tcPr>
            <w:tcW w:type="dxa" w:w="4320"/>
          </w:tcPr>
          <w:p>
            <w:pPr>
              <w:jc w:val="right"/>
              <w:bidi w:val="1"/>
            </w:pPr>
            <w:r>
              <w:t>DEC-AD-UI-04 — الهوية</w:t>
            </w:r>
          </w:p>
        </w:tc>
        <w:tc>
          <w:tcPr>
            <w:tcW w:type="dxa" w:w="4320"/>
          </w:tcPr>
          <w:p>
            <w:pPr>
              <w:jc w:val="right"/>
              <w:bidi w:val="1"/>
            </w:pPr>
            <w:r>
              <w:t>ألوان شعار حرفة الرسمية مع خلفيات فاتحة ومحايدة؛ استخراج رموز الألوان والتحقق من التباين قبل تثبيتها.</w:t>
            </w:r>
          </w:p>
        </w:tc>
      </w:tr>
      <w:tr>
        <w:tc>
          <w:tcPr>
            <w:tcW w:type="dxa" w:w="4320"/>
          </w:tcPr>
          <w:p>
            <w:pPr>
              <w:jc w:val="right"/>
              <w:bidi w:val="1"/>
            </w:pPr>
            <w:r>
              <w:t>DEC-AD-UI-05 — تصغير Sidebar</w:t>
            </w:r>
          </w:p>
        </w:tc>
        <w:tc>
          <w:tcPr>
            <w:tcW w:type="dxa" w:w="4320"/>
          </w:tcPr>
          <w:p>
            <w:pPr>
              <w:jc w:val="right"/>
              <w:bidi w:val="1"/>
            </w:pPr>
            <w:r>
              <w:t>كاملة افتراضيًا على الكمبيوتر وقابلة للتصغير إلى أيقونات مع تلميحات؛ على الجوال قائمة قابلة للفتح والإغلاق.</w:t>
            </w:r>
          </w:p>
        </w:tc>
      </w:tr>
      <w:tr>
        <w:tc>
          <w:tcPr>
            <w:tcW w:type="dxa" w:w="4320"/>
          </w:tcPr>
          <w:p>
            <w:pPr>
              <w:jc w:val="right"/>
              <w:bidi w:val="1"/>
            </w:pPr>
            <w:r>
              <w:t>DEC-AD-UI-06 — كثافة الجداول</w:t>
            </w:r>
          </w:p>
        </w:tc>
        <w:tc>
          <w:tcPr>
            <w:tcW w:type="dxa" w:w="4320"/>
          </w:tcPr>
          <w:p>
            <w:pPr>
              <w:jc w:val="right"/>
              <w:bidi w:val="1"/>
            </w:pPr>
            <w:r>
              <w:t>صفوف متوازنة ومريحة، ارتفاع مستهدف 48–56px دون فرض ارتفاع يمنع التفاف النصوص.</w:t>
            </w:r>
          </w:p>
        </w:tc>
      </w:tr>
      <w:tr>
        <w:tc>
          <w:tcPr>
            <w:tcW w:type="dxa" w:w="4320"/>
          </w:tcPr>
          <w:p>
            <w:pPr>
              <w:jc w:val="right"/>
              <w:bidi w:val="1"/>
            </w:pPr>
            <w:r>
              <w:t>DEC-AD-UI-07 — البحث والفلاتر</w:t>
            </w:r>
          </w:p>
        </w:tc>
        <w:tc>
          <w:tcPr>
            <w:tcW w:type="dxa" w:w="4320"/>
          </w:tcPr>
          <w:p>
            <w:pPr>
              <w:jc w:val="right"/>
              <w:bidi w:val="1"/>
            </w:pPr>
            <w:r>
              <w:t>بحث وفلاتر أساسية ظاهرة، مع فلاتر إضافية عند الحاجة وإمكانية إعادة الضبط، دون تعديل منطق الاستعلامات.</w:t>
            </w:r>
          </w:p>
        </w:tc>
      </w:tr>
      <w:tr>
        <w:tc>
          <w:tcPr>
            <w:tcW w:type="dxa" w:w="4320"/>
          </w:tcPr>
          <w:p>
            <w:pPr>
              <w:jc w:val="right"/>
              <w:bidi w:val="1"/>
            </w:pPr>
            <w:r>
              <w:t>DEC-AD-UI-08 — Pagination</w:t>
            </w:r>
          </w:p>
        </w:tc>
        <w:tc>
          <w:tcPr>
            <w:tcW w:type="dxa" w:w="4320"/>
          </w:tcPr>
          <w:p>
            <w:pPr>
              <w:jc w:val="right"/>
              <w:bidi w:val="1"/>
            </w:pPr>
            <w:r>
              <w:t>ترقيم رقمي مع السابق والتالي وعدد النتائج وحفظ معايير البحث عند الانتقال.</w:t>
            </w:r>
          </w:p>
        </w:tc>
      </w:tr>
      <w:tr>
        <w:tc>
          <w:tcPr>
            <w:tcW w:type="dxa" w:w="4320"/>
          </w:tcPr>
          <w:p>
            <w:pPr>
              <w:jc w:val="right"/>
              <w:bidi w:val="1"/>
            </w:pPr>
            <w:r>
              <w:t>DEC-AD-UI-09 — إجراءات الصفوف</w:t>
            </w:r>
          </w:p>
        </w:tc>
        <w:tc>
          <w:tcPr>
            <w:tcW w:type="dxa" w:w="4320"/>
          </w:tcPr>
          <w:p>
            <w:pPr>
              <w:jc w:val="right"/>
              <w:bidi w:val="1"/>
            </w:pPr>
            <w:r>
              <w:t>إجراء أساسي ظاهر وقائمة ثلاث نقاط للإجراءات الثانوية؛ تتبع الصلاحيات وحالة السجل.</w:t>
            </w:r>
          </w:p>
        </w:tc>
      </w:tr>
      <w:tr>
        <w:tc>
          <w:tcPr>
            <w:tcW w:type="dxa" w:w="4320"/>
          </w:tcPr>
          <w:p>
            <w:pPr>
              <w:jc w:val="right"/>
              <w:bidi w:val="1"/>
            </w:pPr>
            <w:r>
              <w:t>DEC-AD-UI-10 — الإجراءات الجماعية</w:t>
            </w:r>
          </w:p>
        </w:tc>
        <w:tc>
          <w:tcPr>
            <w:tcW w:type="dxa" w:w="4320"/>
          </w:tcPr>
          <w:p>
            <w:pPr>
              <w:jc w:val="right"/>
              <w:bidi w:val="1"/>
            </w:pPr>
            <w:r>
              <w:t>تظهر فقط في الصفحات التي تملك عمليات جماعية معتمدة ومدعومة، وبحسب الصلاحيات وقواعد الأعمال.</w:t>
            </w:r>
          </w:p>
        </w:tc>
      </w:tr>
      <w:tr>
        <w:tc>
          <w:tcPr>
            <w:tcW w:type="dxa" w:w="4320"/>
          </w:tcPr>
          <w:p>
            <w:pPr>
              <w:jc w:val="right"/>
              <w:bidi w:val="1"/>
            </w:pPr>
            <w:r>
              <w:t>DEC-AD-UI-11 — النماذج</w:t>
            </w:r>
          </w:p>
        </w:tc>
        <w:tc>
          <w:tcPr>
            <w:tcW w:type="dxa" w:w="4320"/>
          </w:tcPr>
          <w:p>
            <w:pPr>
              <w:jc w:val="right"/>
              <w:bidi w:val="1"/>
            </w:pPr>
            <w:r>
              <w:t>صفحات مستقلة للنماذج الكبيرة، وModal للنماذج الصغيرة بحسب تعقيد المهمة.</w:t>
            </w:r>
          </w:p>
        </w:tc>
      </w:tr>
      <w:tr>
        <w:tc>
          <w:tcPr>
            <w:tcW w:type="dxa" w:w="4320"/>
          </w:tcPr>
          <w:p>
            <w:pPr>
              <w:jc w:val="right"/>
              <w:bidi w:val="1"/>
            </w:pPr>
            <w:r>
              <w:t>DEC-AD-UI-12 — Validation</w:t>
            </w:r>
          </w:p>
        </w:tc>
        <w:tc>
          <w:tcPr>
            <w:tcW w:type="dxa" w:w="4320"/>
          </w:tcPr>
          <w:p>
            <w:pPr>
              <w:jc w:val="right"/>
              <w:bidi w:val="1"/>
            </w:pPr>
            <w:r>
              <w:t>التحقق عند الحفظ؛ رسائل أسفل الحقول وتحديثها عند التصحيح؛ يبقى تحقق الخادم مرجعًا إلزاميًا.</w:t>
            </w:r>
          </w:p>
        </w:tc>
      </w:tr>
      <w:tr>
        <w:tc>
          <w:tcPr>
            <w:tcW w:type="dxa" w:w="4320"/>
          </w:tcPr>
          <w:p>
            <w:pPr>
              <w:jc w:val="right"/>
              <w:bidi w:val="1"/>
            </w:pPr>
            <w:r>
              <w:t>DEC-AD-UI-13 — الحفظ المحمي</w:t>
            </w:r>
          </w:p>
        </w:tc>
        <w:tc>
          <w:tcPr>
            <w:tcW w:type="dxa" w:w="4320"/>
          </w:tcPr>
          <w:p>
            <w:pPr>
              <w:jc w:val="right"/>
              <w:bidi w:val="1"/>
            </w:pPr>
            <w:r>
              <w:t>حالة حفظ مرئية، منع الإرسال المتكرر، التحذير من التغييرات غير المحفوظة، وحفظ المدخلات عند الخطأ.</w:t>
            </w:r>
          </w:p>
        </w:tc>
      </w:tr>
      <w:tr>
        <w:tc>
          <w:tcPr>
            <w:tcW w:type="dxa" w:w="4320"/>
          </w:tcPr>
          <w:p>
            <w:pPr>
              <w:jc w:val="right"/>
              <w:bidi w:val="1"/>
            </w:pPr>
            <w:r>
              <w:t>DEC-AD-UI-14 — UI States</w:t>
            </w:r>
          </w:p>
        </w:tc>
        <w:tc>
          <w:tcPr>
            <w:tcW w:type="dxa" w:w="4320"/>
          </w:tcPr>
          <w:p>
            <w:pPr>
              <w:jc w:val="right"/>
              <w:bidi w:val="1"/>
            </w:pPr>
            <w:r>
              <w:t>Toast للنتائج المؤقتة، وInline للحالات المستمرة والأخطاء والتحميل والفراغ؛ تأكيد مستقل للعمليات الحساسة.</w:t>
            </w:r>
          </w:p>
        </w:tc>
      </w:tr>
      <w:tr>
        <w:tc>
          <w:tcPr>
            <w:tcW w:type="dxa" w:w="4320"/>
          </w:tcPr>
          <w:p>
            <w:pPr>
              <w:jc w:val="right"/>
              <w:bidi w:val="1"/>
            </w:pPr>
            <w:r>
              <w:t>DEC-AD-UI-15 — جداول الجوال</w:t>
            </w:r>
          </w:p>
        </w:tc>
        <w:tc>
          <w:tcPr>
            <w:tcW w:type="dxa" w:w="4320"/>
          </w:tcPr>
          <w:p>
            <w:pPr>
              <w:jc w:val="right"/>
              <w:bidi w:val="1"/>
            </w:pPr>
            <w:r>
              <w:t>تمرير أفقي للجداول البسيطة؛ بطاقات للجداول المعقدة عند الحاجة، مع إبقاء البيانات والإجراءات قابلة للوصول.</w:t>
            </w:r>
          </w:p>
        </w:tc>
      </w:tr>
      <w:tr>
        <w:tc>
          <w:tcPr>
            <w:tcW w:type="dxa" w:w="4320"/>
          </w:tcPr>
          <w:p>
            <w:pPr>
              <w:jc w:val="right"/>
              <w:bidi w:val="1"/>
            </w:pPr>
            <w:r>
              <w:t>DEC-AD-UI-16 — Accessibility</w:t>
            </w:r>
          </w:p>
        </w:tc>
        <w:tc>
          <w:tcPr>
            <w:tcW w:type="dxa" w:w="4320"/>
          </w:tcPr>
          <w:p>
            <w:pPr>
              <w:jc w:val="right"/>
              <w:bidi w:val="1"/>
            </w:pPr>
            <w:r>
              <w:t>استهداف WCAG 2.2 AA: لوحة المفاتيح، Focus، التباين، التسميات، إدارة تركيز Modal، قارئات الشاشة، التكبير والحركة المخففة.</w:t>
            </w:r>
          </w:p>
        </w:tc>
      </w:tr>
    </w:tbl>
    <w:p>
      <w:pPr>
        <w:pStyle w:val="Heading2"/>
        <w:jc w:val="right"/>
        <w:bidi w:val="1"/>
      </w:pPr>
      <w:r>
        <w:t>3. هيكل التنقل المقترح للمراجعة</w:t>
      </w:r>
    </w:p>
    <w:p>
      <w:pPr>
        <w:jc w:val="right"/>
        <w:bidi w:val="1"/>
      </w:pPr>
      <w:r>
        <w:rPr>
          <w:b w:val="0"/>
        </w:rPr>
        <w:t>الرئيسية؛ إدارة المستخدمين (البائعون، العملاء، مندوبو التوصيل، المشرفون والصلاحيات)؛ إدارة المتجر (التصنيفات، المنتجات، الطلبات، الطلبات الفرعية)؛ التوصيل (إدارة التوصيل، المناطق)؛ المالية والتقارير (العمولات، التقارير)؛ الجودة والمتابعة (التقييمات، النزاعات، الاسترجاع)؛ النظام (اللغات، الترجمات، الإعدادات).</w:t>
      </w:r>
    </w:p>
    <w:p>
      <w:pPr>
        <w:jc w:val="right"/>
        <w:bidi w:val="1"/>
      </w:pPr>
      <w:r>
        <w:rPr>
          <w:b w:val="0"/>
        </w:rPr>
        <w:t>هذا تنظيم معلوماتي مقترح، وليس إثباتًا أن جميع الصفحات والمسارات موجودة. لا تُفعّل العناصر الناقصة أو تُنشأ وظائف جديدة ضمن AD-UI-01.</w:t>
      </w:r>
    </w:p>
    <w:p>
      <w:pPr>
        <w:pStyle w:val="Heading2"/>
        <w:jc w:val="right"/>
        <w:bidi w:val="1"/>
      </w:pPr>
      <w:r>
        <w:t>4. قيود التنفيذ</w:t>
      </w:r>
    </w:p>
    <w:p>
      <w:pPr>
        <w:jc w:val="right"/>
        <w:bidi w:val="1"/>
      </w:pPr>
      <w:r>
        <w:rPr>
          <w:b w:val="0"/>
        </w:rPr>
        <w:t>• لا تعديل Controllers أو Models أو Migrations أو قواعد الأعمال أو صلاحيات الخادم ضمن تحسين Layout.</w:t>
      </w:r>
    </w:p>
    <w:p>
      <w:pPr>
        <w:jc w:val="right"/>
        <w:bidi w:val="1"/>
      </w:pPr>
      <w:r>
        <w:rPr>
          <w:b w:val="0"/>
        </w:rPr>
        <w:t>• عدم إزالة Bootstrap أو Tailwind أو مكتبات الأيقونات قبل تدقيق الاعتماديات ومواقع الاستخدام.</w:t>
      </w:r>
    </w:p>
    <w:p>
      <w:pPr>
        <w:jc w:val="right"/>
        <w:bidi w:val="1"/>
      </w:pPr>
      <w:r>
        <w:rPr>
          <w:b w:val="0"/>
        </w:rPr>
        <w:t>• عدم تغيير المسارات الحالية أو ترجمة مفاتيح النظام بطريقة تكسر الروابط.</w:t>
      </w:r>
    </w:p>
    <w:p>
      <w:pPr>
        <w:jc w:val="right"/>
        <w:bidi w:val="1"/>
      </w:pPr>
      <w:r>
        <w:rPr>
          <w:b w:val="0"/>
        </w:rPr>
        <w:t>• عدم عرض وظائف الإشعارات أو العمليات الجماعية أو التقارير على أنها جاهزة دون التحقق من وجودها.</w:t>
      </w:r>
    </w:p>
    <w:p>
      <w:pPr>
        <w:jc w:val="right"/>
        <w:bidi w:val="1"/>
      </w:pPr>
      <w:r>
        <w:rPr>
          <w:b w:val="0"/>
        </w:rPr>
        <w:t>• لا يُدّعى امتثال WCAG 2.2 AA قبل اختبار قابل للتوثيق.</w:t>
      </w:r>
    </w:p>
    <w:p>
      <w:pPr>
        <w:pStyle w:val="Heading2"/>
        <w:jc w:val="right"/>
        <w:bidi w:val="1"/>
      </w:pPr>
      <w:r>
        <w:t>5. نقاط تحقق قبل التنفيذ</w:t>
      </w:r>
    </w:p>
    <w:p>
      <w:pPr>
        <w:jc w:val="right"/>
        <w:bidi w:val="1"/>
      </w:pPr>
      <w:r>
        <w:rPr>
          <w:b w:val="0"/>
        </w:rPr>
        <w:t>□ تحديد المسارات والملفات الفعلية الخاصة بـ Layout وSidebar وHeader والصفحات ذات الصلة.</w:t>
      </w:r>
    </w:p>
    <w:p>
      <w:pPr>
        <w:jc w:val="right"/>
        <w:bidi w:val="1"/>
      </w:pPr>
      <w:r>
        <w:rPr>
          <w:b w:val="0"/>
        </w:rPr>
        <w:t>□ استخراج ألوان الشعار الرسمية وتحديد متغيرات التصميم بعد اختبار التباين.</w:t>
      </w:r>
    </w:p>
    <w:p>
      <w:pPr>
        <w:jc w:val="right"/>
        <w:bidi w:val="1"/>
      </w:pPr>
      <w:r>
        <w:rPr>
          <w:b w:val="0"/>
        </w:rPr>
        <w:t>□ فحص نظام اللغات الحالي وحفظ تفضيل اللغة ودعم dir من الخادم.</w:t>
      </w:r>
    </w:p>
    <w:p>
      <w:pPr>
        <w:jc w:val="right"/>
        <w:bidi w:val="1"/>
      </w:pPr>
      <w:r>
        <w:rPr>
          <w:b w:val="0"/>
        </w:rPr>
        <w:t>□ جرد CSS/JS وأطر الواجهة والأيقونات ومعرفة أثر أي تعديل مشترك.</w:t>
      </w:r>
    </w:p>
    <w:p>
      <w:pPr>
        <w:jc w:val="right"/>
        <w:bidi w:val="1"/>
      </w:pPr>
      <w:r>
        <w:rPr>
          <w:b w:val="0"/>
        </w:rPr>
        <w:t>□ تحديد الصفحات التي تدعم البحث والترقيم والإجراءات الجماعية بالفعل.</w:t>
      </w:r>
    </w:p>
    <w:p>
      <w:pPr>
        <w:jc w:val="right"/>
        <w:bidi w:val="1"/>
      </w:pPr>
      <w:r>
        <w:rPr>
          <w:b w:val="0"/>
        </w:rPr>
        <w:t>□ تثبيت مصفوفة صلاحيات ظهور عناصر التنقل والإجراءات.</w:t>
      </w:r>
    </w:p>
    <w:p>
      <w:pPr>
        <w:pStyle w:val="Heading2"/>
        <w:jc w:val="right"/>
        <w:bidi w:val="1"/>
      </w:pPr>
      <w:r>
        <w:t>6. اختبارات القبول المقترحة</w:t>
      </w:r>
    </w:p>
    <w:p>
      <w:pPr>
        <w:jc w:val="right"/>
        <w:bidi w:val="1"/>
      </w:pPr>
      <w:r>
        <w:rPr>
          <w:b w:val="0"/>
        </w:rPr>
        <w:t>□ العربية RTL والإنجليزية LTR من أول عرض دون قفزة اتجاه بعد التحميل.</w:t>
      </w:r>
    </w:p>
    <w:p>
      <w:pPr>
        <w:jc w:val="right"/>
        <w:bidi w:val="1"/>
      </w:pPr>
      <w:r>
        <w:rPr>
          <w:b w:val="0"/>
        </w:rPr>
        <w:t>□ Sidebar كاملة/مصغرة مع حالات نشطة صحيحة، وعرض جوال قابل للتحكم بلوحة المفاتيح.</w:t>
      </w:r>
    </w:p>
    <w:p>
      <w:pPr>
        <w:jc w:val="right"/>
        <w:bidi w:val="1"/>
      </w:pPr>
      <w:r>
        <w:rPr>
          <w:b w:val="0"/>
        </w:rPr>
        <w:t>□ روابط القائمة تطابق المسارات والصلاحيات الحالية ولا تعرض روابط وهمية.</w:t>
      </w:r>
    </w:p>
    <w:p>
      <w:pPr>
        <w:jc w:val="right"/>
        <w:bidi w:val="1"/>
      </w:pPr>
      <w:r>
        <w:rPr>
          <w:b w:val="0"/>
        </w:rPr>
        <w:t>□ Header خالٍ من عناصر القالب التجريبية ويعمل على الشاشات الصغيرة.</w:t>
      </w:r>
    </w:p>
    <w:p>
      <w:pPr>
        <w:jc w:val="right"/>
        <w:bidi w:val="1"/>
      </w:pPr>
      <w:r>
        <w:rPr>
          <w:b w:val="0"/>
        </w:rPr>
        <w:t>□ الجداول تحتفظ بالفلاتر أثناء الترقيم وتعرض الإجراءات وفق صلاحيات المستخدم.</w:t>
      </w:r>
    </w:p>
    <w:p>
      <w:pPr>
        <w:jc w:val="right"/>
        <w:bidi w:val="1"/>
      </w:pPr>
      <w:r>
        <w:rPr>
          <w:b w:val="0"/>
        </w:rPr>
        <w:t>□ Validation يعرض أخطاء الخادم ويحفظ مدخلات المستخدم بعد الفشل.</w:t>
      </w:r>
    </w:p>
    <w:p>
      <w:pPr>
        <w:jc w:val="right"/>
        <w:bidi w:val="1"/>
      </w:pPr>
      <w:r>
        <w:rPr>
          <w:b w:val="0"/>
        </w:rPr>
        <w:t>□ الحفظ يمنع النقر المكرر ويعرض تحذير التغييرات غير المحفوظة.</w:t>
      </w:r>
    </w:p>
    <w:p>
      <w:pPr>
        <w:jc w:val="right"/>
        <w:bidi w:val="1"/>
      </w:pPr>
      <w:r>
        <w:rPr>
          <w:b w:val="0"/>
        </w:rPr>
        <w:t>□ Toast وInline وEmpty/Loading/Error قابلة للفهم دون الاعتماد على اللون وحده.</w:t>
      </w:r>
    </w:p>
    <w:p>
      <w:pPr>
        <w:jc w:val="right"/>
        <w:bidi w:val="1"/>
      </w:pPr>
      <w:r>
        <w:rPr>
          <w:b w:val="0"/>
        </w:rPr>
        <w:t>□ اختبارات إمكانية الوصول تشمل لوحة المفاتيح والتركيز والتباين وModal والتكبير.</w:t>
      </w:r>
    </w:p>
    <w:p>
      <w:pPr>
        <w:pStyle w:val="Heading2"/>
        <w:jc w:val="right"/>
        <w:bidi w:val="1"/>
      </w:pPr>
      <w:r>
        <w:t>7. بوابة الاعتماد</w:t>
      </w:r>
    </w:p>
    <w:p>
      <w:pPr>
        <w:jc w:val="right"/>
        <w:bidi w:val="1"/>
      </w:pPr>
      <w:r>
        <w:rPr>
          <w:b w:val="0"/>
        </w:rPr>
        <w:t>قبل التنفيذ: مراجعة هذه الوثيقة واعتمادها، ثم طلب مهمة Codex قراءة فقط لتثبيت خريطة الملفات والاعتماديات والفجوات. بعد الموافقة على خطة التغيير تُنفذ تعديلات صغيرة مع اختبار كل مرحلة، ولا Commit أو Push دون إذن.</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