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B8EC" w14:textId="7D2B686C" w:rsidR="00B60153" w:rsidRDefault="00B60153" w:rsidP="00B6015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28. Tétel: A rezisztencia génökoszisztémák környezeti kockázatértékelése</w:t>
      </w:r>
    </w:p>
    <w:p w14:paraId="329A2BF0" w14:textId="77777777" w:rsidR="00B60153" w:rsidRPr="00B60153" w:rsidRDefault="00B60153" w:rsidP="00B6015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1EDB5" w14:textId="1CC63346" w:rsidR="00B60153" w:rsidRPr="00B60153" w:rsidRDefault="00B60153" w:rsidP="00B601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1. Bevezetés: A </w:t>
      </w:r>
      <w:proofErr w:type="gram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rezisztencia</w:t>
      </w:r>
      <w:proofErr w:type="gramEnd"/>
      <w:r w:rsidRPr="00B60153">
        <w:rPr>
          <w:rFonts w:ascii="Times New Roman" w:hAnsi="Times New Roman" w:cs="Times New Roman"/>
          <w:b/>
          <w:bCs/>
          <w:sz w:val="24"/>
          <w:szCs w:val="24"/>
        </w:rPr>
        <w:t xml:space="preserve"> mint ökológiai és </w:t>
      </w:r>
      <w:r>
        <w:rPr>
          <w:rFonts w:ascii="Times New Roman" w:hAnsi="Times New Roman" w:cs="Times New Roman"/>
          <w:b/>
          <w:bCs/>
          <w:sz w:val="24"/>
          <w:szCs w:val="24"/>
        </w:rPr>
        <w:t>állat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-egészségügyi probléma </w:t>
      </w:r>
    </w:p>
    <w:p w14:paraId="28D3A1CC" w14:textId="59F2E80C" w:rsidR="00243E27" w:rsidRDefault="00243E27" w:rsidP="00B60153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5C57">
        <w:rPr>
          <w:rFonts w:ascii="Times New Roman" w:hAnsi="Times New Roman" w:cs="Times New Roman"/>
          <w:sz w:val="24"/>
          <w:szCs w:val="24"/>
        </w:rPr>
        <w:t xml:space="preserve">Egy </w:t>
      </w:r>
      <w:r w:rsidRPr="00185C57">
        <w:rPr>
          <w:rFonts w:ascii="Times New Roman" w:hAnsi="Times New Roman" w:cs="Times New Roman"/>
          <w:i/>
          <w:iCs/>
          <w:sz w:val="24"/>
          <w:szCs w:val="24"/>
        </w:rPr>
        <w:t>rezisztencia-génökoszisztéma</w:t>
      </w:r>
      <w:r w:rsidRPr="00185C57">
        <w:rPr>
          <w:rFonts w:ascii="Times New Roman" w:hAnsi="Times New Roman" w:cs="Times New Roman"/>
          <w:sz w:val="24"/>
          <w:szCs w:val="24"/>
        </w:rPr>
        <w:t xml:space="preserve"> az adott környezetben megtalálható antibiotikum-rezisztencia gének és az ezeket hordozó baktériumközösségek összességét jelenti. </w:t>
      </w:r>
    </w:p>
    <w:p w14:paraId="5924848C" w14:textId="58360633" w:rsidR="00243E27" w:rsidRDefault="00243E27" w:rsidP="00243E27">
      <w:pPr>
        <w:pStyle w:val="FirstParagraph"/>
        <w:numPr>
          <w:ilvl w:val="0"/>
          <w:numId w:val="42"/>
        </w:numPr>
        <w:spacing w:before="0"/>
        <w:jc w:val="both"/>
        <w:rPr>
          <w:rFonts w:ascii="Times New Roman" w:hAnsi="Times New Roman" w:cs="Times New Roman"/>
        </w:rPr>
      </w:pPr>
      <w:r w:rsidRPr="00185C57">
        <w:rPr>
          <w:rFonts w:ascii="Times New Roman" w:hAnsi="Times New Roman" w:cs="Times New Roman"/>
        </w:rPr>
        <w:t>Ezek a gének – például β-</w:t>
      </w:r>
      <w:proofErr w:type="spellStart"/>
      <w:r w:rsidRPr="00185C57">
        <w:rPr>
          <w:rFonts w:ascii="Times New Roman" w:hAnsi="Times New Roman" w:cs="Times New Roman"/>
        </w:rPr>
        <w:t>laktamázokat</w:t>
      </w:r>
      <w:proofErr w:type="spellEnd"/>
      <w:r w:rsidRPr="00185C57">
        <w:rPr>
          <w:rFonts w:ascii="Times New Roman" w:hAnsi="Times New Roman" w:cs="Times New Roman"/>
        </w:rPr>
        <w:t xml:space="preserve">, </w:t>
      </w:r>
      <w:proofErr w:type="spellStart"/>
      <w:r w:rsidRPr="00185C57">
        <w:rPr>
          <w:rFonts w:ascii="Times New Roman" w:hAnsi="Times New Roman" w:cs="Times New Roman"/>
        </w:rPr>
        <w:t>tetraciklin</w:t>
      </w:r>
      <w:proofErr w:type="spellEnd"/>
      <w:r w:rsidRPr="00185C57">
        <w:rPr>
          <w:rFonts w:ascii="Times New Roman" w:hAnsi="Times New Roman" w:cs="Times New Roman"/>
        </w:rPr>
        <w:t xml:space="preserve">-modifikáló enzimeket vagy </w:t>
      </w:r>
      <w:proofErr w:type="spellStart"/>
      <w:r w:rsidRPr="00185C57">
        <w:rPr>
          <w:rFonts w:ascii="Times New Roman" w:hAnsi="Times New Roman" w:cs="Times New Roman"/>
        </w:rPr>
        <w:t>efflux</w:t>
      </w:r>
      <w:proofErr w:type="spellEnd"/>
      <w:r w:rsidRPr="00185C57">
        <w:rPr>
          <w:rFonts w:ascii="Times New Roman" w:hAnsi="Times New Roman" w:cs="Times New Roman"/>
        </w:rPr>
        <w:t xml:space="preserve"> pum</w:t>
      </w:r>
      <w:r w:rsidR="0045402E">
        <w:rPr>
          <w:rFonts w:ascii="Times New Roman" w:hAnsi="Times New Roman" w:cs="Times New Roman"/>
        </w:rPr>
        <w:t>pa</w:t>
      </w:r>
      <w:r w:rsidRPr="00185C57">
        <w:rPr>
          <w:rFonts w:ascii="Times New Roman" w:hAnsi="Times New Roman" w:cs="Times New Roman"/>
        </w:rPr>
        <w:t>-g</w:t>
      </w:r>
      <w:r w:rsidR="0045402E">
        <w:rPr>
          <w:rFonts w:ascii="Times New Roman" w:hAnsi="Times New Roman" w:cs="Times New Roman"/>
        </w:rPr>
        <w:t>é</w:t>
      </w:r>
      <w:r w:rsidRPr="00185C57">
        <w:rPr>
          <w:rFonts w:ascii="Times New Roman" w:hAnsi="Times New Roman" w:cs="Times New Roman"/>
        </w:rPr>
        <w:t xml:space="preserve">neket kódolók – gyakran mobilis genetikai elemeken (pl. </w:t>
      </w:r>
      <w:proofErr w:type="spellStart"/>
      <w:r w:rsidRPr="00185C57">
        <w:rPr>
          <w:rFonts w:ascii="Times New Roman" w:hAnsi="Times New Roman" w:cs="Times New Roman"/>
        </w:rPr>
        <w:t>plazmid</w:t>
      </w:r>
      <w:proofErr w:type="spellEnd"/>
      <w:r w:rsidRPr="00185C57">
        <w:rPr>
          <w:rFonts w:ascii="Times New Roman" w:hAnsi="Times New Roman" w:cs="Times New Roman"/>
        </w:rPr>
        <w:t xml:space="preserve">, </w:t>
      </w:r>
      <w:proofErr w:type="spellStart"/>
      <w:r w:rsidRPr="00185C57">
        <w:rPr>
          <w:rFonts w:ascii="Times New Roman" w:hAnsi="Times New Roman" w:cs="Times New Roman"/>
        </w:rPr>
        <w:t>integron</w:t>
      </w:r>
      <w:proofErr w:type="spellEnd"/>
      <w:r w:rsidRPr="00185C57">
        <w:rPr>
          <w:rFonts w:ascii="Times New Roman" w:hAnsi="Times New Roman" w:cs="Times New Roman"/>
        </w:rPr>
        <w:t xml:space="preserve">, </w:t>
      </w:r>
      <w:proofErr w:type="spellStart"/>
      <w:r w:rsidRPr="00185C57">
        <w:rPr>
          <w:rFonts w:ascii="Times New Roman" w:hAnsi="Times New Roman" w:cs="Times New Roman"/>
        </w:rPr>
        <w:t>transzpozon</w:t>
      </w:r>
      <w:proofErr w:type="spellEnd"/>
      <w:r w:rsidRPr="00185C57">
        <w:rPr>
          <w:rFonts w:ascii="Times New Roman" w:hAnsi="Times New Roman" w:cs="Times New Roman"/>
        </w:rPr>
        <w:t xml:space="preserve">) találhatók, így </w:t>
      </w:r>
      <w:r>
        <w:rPr>
          <w:rFonts w:ascii="Times New Roman" w:hAnsi="Times New Roman" w:cs="Times New Roman"/>
        </w:rPr>
        <w:t xml:space="preserve">horizontális géntranszferen keresztül </w:t>
      </w:r>
      <w:r w:rsidRPr="00185C57">
        <w:rPr>
          <w:rFonts w:ascii="Times New Roman" w:hAnsi="Times New Roman" w:cs="Times New Roman"/>
        </w:rPr>
        <w:t xml:space="preserve">gyorsan terjedhetnek a baktériumok között. </w:t>
      </w:r>
    </w:p>
    <w:p w14:paraId="5BB429A8" w14:textId="7447E9B3" w:rsidR="00243E27" w:rsidRPr="00243E27" w:rsidRDefault="00243E27" w:rsidP="00243E27">
      <w:pPr>
        <w:pStyle w:val="FirstParagraph"/>
        <w:numPr>
          <w:ilvl w:val="0"/>
          <w:numId w:val="42"/>
        </w:numPr>
        <w:spacing w:before="0"/>
        <w:jc w:val="both"/>
        <w:rPr>
          <w:rFonts w:ascii="Times New Roman" w:hAnsi="Times New Roman" w:cs="Times New Roman"/>
        </w:rPr>
      </w:pPr>
      <w:r w:rsidRPr="00185C57">
        <w:rPr>
          <w:rFonts w:ascii="Times New Roman" w:hAnsi="Times New Roman" w:cs="Times New Roman"/>
        </w:rPr>
        <w:t xml:space="preserve">A </w:t>
      </w:r>
      <w:proofErr w:type="spellStart"/>
      <w:r w:rsidRPr="00185C57">
        <w:rPr>
          <w:rFonts w:ascii="Times New Roman" w:hAnsi="Times New Roman" w:cs="Times New Roman"/>
          <w:i/>
          <w:iCs/>
        </w:rPr>
        <w:t>One</w:t>
      </w:r>
      <w:proofErr w:type="spellEnd"/>
      <w:r w:rsidRPr="00185C57">
        <w:rPr>
          <w:rFonts w:ascii="Times New Roman" w:hAnsi="Times New Roman" w:cs="Times New Roman"/>
          <w:i/>
          <w:iCs/>
        </w:rPr>
        <w:t xml:space="preserve"> Health</w:t>
      </w:r>
      <w:r w:rsidRPr="00185C57">
        <w:rPr>
          <w:rFonts w:ascii="Times New Roman" w:hAnsi="Times New Roman" w:cs="Times New Roman"/>
        </w:rPr>
        <w:t xml:space="preserve"> szemlélet alapján a környezeti rezisztenciagén-ökoszisztémák elválaszthatatlanul kapcsolódnak az emberi és állati egészséghez: az antibiotikumokat nem csak kórházakban, hanem mezőgazdasági állattenyésztésben és ipari folyamatokban is alkalmazzák. Az ezekből származó rezisztens baktériumok és ARG-ek a talajba, vizekbe vagy az élelmiszerláncon keresztül az emberi populációkba kerülhetnek, ezért környezetükben felhalmozódó rezisztenciagének jelentős köz</w:t>
      </w:r>
      <w:r>
        <w:rPr>
          <w:rFonts w:ascii="Times New Roman" w:hAnsi="Times New Roman" w:cs="Times New Roman"/>
        </w:rPr>
        <w:t>egészségügyi</w:t>
      </w:r>
      <w:r w:rsidRPr="00185C57">
        <w:rPr>
          <w:rFonts w:ascii="Times New Roman" w:hAnsi="Times New Roman" w:cs="Times New Roman"/>
        </w:rPr>
        <w:t xml:space="preserve"> kockázatot hordozhatnak.</w:t>
      </w:r>
    </w:p>
    <w:p w14:paraId="33513AFD" w14:textId="77777777" w:rsidR="00243E27" w:rsidRDefault="00B60153" w:rsidP="00B60153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környezeti kockázatértékelé</w:t>
      </w:r>
      <w:r w:rsidR="00243E27">
        <w:rPr>
          <w:rFonts w:ascii="Times New Roman" w:hAnsi="Times New Roman" w:cs="Times New Roman"/>
          <w:sz w:val="24"/>
          <w:szCs w:val="24"/>
        </w:rPr>
        <w:t>s</w:t>
      </w:r>
      <w:r w:rsidRPr="00B60153">
        <w:rPr>
          <w:rFonts w:ascii="Times New Roman" w:hAnsi="Times New Roman" w:cs="Times New Roman"/>
          <w:sz w:val="24"/>
          <w:szCs w:val="24"/>
        </w:rPr>
        <w:t xml:space="preserve"> célja, hogy tudományos módszerekkel meghatározza ezen szennyezők (gyógyszermaradványok, ARB-k, ARG-k) környezeti sorsát, terjedési útvonalait és a humán-, illetve állategészségügyre gyakorolt hatását. </w:t>
      </w:r>
    </w:p>
    <w:p w14:paraId="32CDC5E6" w14:textId="06CAF622" w:rsidR="00B60153" w:rsidRDefault="00B60153" w:rsidP="00B60153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kockázatértékelés alapvető fontosságú a fenntartható sertéstartás és az élelmiszerlánc biztonságának garantálásához. </w:t>
      </w:r>
    </w:p>
    <w:p w14:paraId="0A98A14B" w14:textId="77777777" w:rsidR="00243E27" w:rsidRPr="00B60153" w:rsidRDefault="00243E27" w:rsidP="00243E27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2DC7CC" w14:textId="19822101" w:rsidR="00B60153" w:rsidRPr="00B60153" w:rsidRDefault="00B60153" w:rsidP="00B601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="00402A14">
        <w:rPr>
          <w:rFonts w:ascii="Times New Roman" w:hAnsi="Times New Roman" w:cs="Times New Roman"/>
          <w:b/>
          <w:bCs/>
          <w:sz w:val="24"/>
          <w:szCs w:val="24"/>
        </w:rPr>
        <w:t>Rezisztom</w:t>
      </w:r>
      <w:proofErr w:type="spellEnd"/>
      <w:r w:rsidR="00402A14">
        <w:rPr>
          <w:rFonts w:ascii="Times New Roman" w:hAnsi="Times New Roman" w:cs="Times New Roman"/>
          <w:b/>
          <w:bCs/>
          <w:sz w:val="24"/>
          <w:szCs w:val="24"/>
        </w:rPr>
        <w:t xml:space="preserve"> és mobil genetikai elemek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2075B9BC" w14:textId="77777777" w:rsidR="00402A14" w:rsidRDefault="00B60153" w:rsidP="00B601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Reziszt</w:t>
      </w:r>
      <w:r w:rsidR="00402A14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m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0153">
        <w:rPr>
          <w:rFonts w:ascii="Times New Roman" w:hAnsi="Times New Roman" w:cs="Times New Roman"/>
          <w:sz w:val="24"/>
          <w:szCs w:val="24"/>
        </w:rPr>
        <w:t> Egy adott környezetbe</w:t>
      </w:r>
      <w:r w:rsidR="00402A14">
        <w:rPr>
          <w:rFonts w:ascii="Times New Roman" w:hAnsi="Times New Roman" w:cs="Times New Roman"/>
          <w:sz w:val="24"/>
          <w:szCs w:val="24"/>
        </w:rPr>
        <w:t>n</w:t>
      </w:r>
      <w:r w:rsidRPr="00B60153">
        <w:rPr>
          <w:rFonts w:ascii="Times New Roman" w:hAnsi="Times New Roman" w:cs="Times New Roman"/>
          <w:sz w:val="24"/>
          <w:szCs w:val="24"/>
        </w:rPr>
        <w:t xml:space="preserve"> jelenlévő összes antibiotikum-rezisztencia gén összessége. </w:t>
      </w:r>
    </w:p>
    <w:p w14:paraId="03B607FE" w14:textId="4CAB9C2B" w:rsidR="00B60153" w:rsidRPr="00B60153" w:rsidRDefault="00402A14" w:rsidP="00402A14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0153" w:rsidRPr="00B60153">
        <w:rPr>
          <w:rFonts w:ascii="Times New Roman" w:hAnsi="Times New Roman" w:cs="Times New Roman"/>
          <w:sz w:val="24"/>
          <w:szCs w:val="24"/>
        </w:rPr>
        <w:t>A sertéstrágya </w:t>
      </w:r>
      <w:proofErr w:type="spellStart"/>
      <w:r w:rsidR="00B60153" w:rsidRPr="00B60153">
        <w:rPr>
          <w:rFonts w:ascii="Times New Roman" w:hAnsi="Times New Roman" w:cs="Times New Roman"/>
          <w:sz w:val="24"/>
          <w:szCs w:val="24"/>
        </w:rPr>
        <w:t>reziszt</w:t>
      </w:r>
      <w:r>
        <w:rPr>
          <w:rFonts w:ascii="Times New Roman" w:hAnsi="Times New Roman" w:cs="Times New Roman"/>
          <w:sz w:val="24"/>
          <w:szCs w:val="24"/>
        </w:rPr>
        <w:t>o</w:t>
      </w:r>
      <w:r w:rsidR="00B60153" w:rsidRPr="00B60153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="00B60153" w:rsidRPr="00B60153">
        <w:rPr>
          <w:rFonts w:ascii="Times New Roman" w:hAnsi="Times New Roman" w:cs="Times New Roman"/>
          <w:sz w:val="24"/>
          <w:szCs w:val="24"/>
        </w:rPr>
        <w:t> kiemelkedő diverzitást mutat, gyakran magasabb </w:t>
      </w:r>
      <w:proofErr w:type="spellStart"/>
      <w:r w:rsidR="00B60153" w:rsidRPr="00B60153">
        <w:rPr>
          <w:rFonts w:ascii="Times New Roman" w:hAnsi="Times New Roman" w:cs="Times New Roman"/>
          <w:sz w:val="24"/>
          <w:szCs w:val="24"/>
        </w:rPr>
        <w:t>abundanciával</w:t>
      </w:r>
      <w:proofErr w:type="spellEnd"/>
      <w:r w:rsidR="00B60153" w:rsidRPr="00B60153">
        <w:rPr>
          <w:rFonts w:ascii="Times New Roman" w:hAnsi="Times New Roman" w:cs="Times New Roman"/>
          <w:sz w:val="24"/>
          <w:szCs w:val="24"/>
        </w:rPr>
        <w:t> (előfordulási gyakorisággal), mint más haszonállatoké. A leggyakrabban detektált géncsaládok a sertéstartásban hagyományosan használt szerekkel korrelálnak: </w:t>
      </w:r>
    </w:p>
    <w:p w14:paraId="795D5796" w14:textId="77777777" w:rsidR="00B60153" w:rsidRPr="00B60153" w:rsidRDefault="00B60153" w:rsidP="00B60153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Tetraciklin-rezisztencia: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tet</w:t>
      </w:r>
      <w:r w:rsidRPr="00B60153">
        <w:rPr>
          <w:rFonts w:ascii="Times New Roman" w:hAnsi="Times New Roman" w:cs="Times New Roman"/>
          <w:sz w:val="24"/>
          <w:szCs w:val="24"/>
        </w:rPr>
        <w:t>(A),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tet</w:t>
      </w:r>
      <w:r w:rsidRPr="00B60153">
        <w:rPr>
          <w:rFonts w:ascii="Times New Roman" w:hAnsi="Times New Roman" w:cs="Times New Roman"/>
          <w:sz w:val="24"/>
          <w:szCs w:val="24"/>
        </w:rPr>
        <w:t>(M),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tet</w:t>
      </w:r>
      <w:r w:rsidRPr="00B60153">
        <w:rPr>
          <w:rFonts w:ascii="Times New Roman" w:hAnsi="Times New Roman" w:cs="Times New Roman"/>
          <w:sz w:val="24"/>
          <w:szCs w:val="24"/>
        </w:rPr>
        <w:t>(W),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tet</w:t>
      </w:r>
      <w:r w:rsidRPr="00B60153">
        <w:rPr>
          <w:rFonts w:ascii="Times New Roman" w:hAnsi="Times New Roman" w:cs="Times New Roman"/>
          <w:sz w:val="24"/>
          <w:szCs w:val="24"/>
        </w:rPr>
        <w:t>(Q),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tet</w:t>
      </w:r>
      <w:r w:rsidRPr="00B60153">
        <w:rPr>
          <w:rFonts w:ascii="Times New Roman" w:hAnsi="Times New Roman" w:cs="Times New Roman"/>
          <w:sz w:val="24"/>
          <w:szCs w:val="24"/>
        </w:rPr>
        <w:t>(X). Ezek a gének a riboszóma-védelem vagy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efflux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pumpák révén biztosítanak védelmet, és rendkívül elterjedtek a sertéstrágyában.</w:t>
      </w:r>
      <w:r w:rsidRPr="00B60153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0CF61E2A" w14:textId="77777777" w:rsidR="00B60153" w:rsidRPr="00B60153" w:rsidRDefault="00B60153" w:rsidP="00B60153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Szulfonamid-rezisztencia: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sul1</w:t>
      </w:r>
      <w:r w:rsidRPr="00B60153">
        <w:rPr>
          <w:rFonts w:ascii="Times New Roman" w:hAnsi="Times New Roman" w:cs="Times New Roman"/>
          <w:sz w:val="24"/>
          <w:szCs w:val="24"/>
        </w:rPr>
        <w:t>,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sul2</w:t>
      </w:r>
      <w:r w:rsidRPr="00B60153">
        <w:rPr>
          <w:rFonts w:ascii="Times New Roman" w:hAnsi="Times New Roman" w:cs="Times New Roman"/>
          <w:sz w:val="24"/>
          <w:szCs w:val="24"/>
        </w:rPr>
        <w:t>,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sul3</w:t>
      </w:r>
      <w:r w:rsidRPr="00B60153">
        <w:rPr>
          <w:rFonts w:ascii="Times New Roman" w:hAnsi="Times New Roman" w:cs="Times New Roman"/>
          <w:sz w:val="24"/>
          <w:szCs w:val="24"/>
        </w:rPr>
        <w:t>. Gyakran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integronokhoz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kötve fordulnak elő, ami növeli a terjedési potenciáljukat. </w:t>
      </w:r>
    </w:p>
    <w:p w14:paraId="58EFF0B9" w14:textId="77777777" w:rsidR="00B60153" w:rsidRPr="00B60153" w:rsidRDefault="00B60153" w:rsidP="00B60153">
      <w:pPr>
        <w:numPr>
          <w:ilvl w:val="0"/>
          <w:numId w:val="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Makrolid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-rezisztencia: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60153">
        <w:rPr>
          <w:rFonts w:ascii="Times New Roman" w:hAnsi="Times New Roman" w:cs="Times New Roman"/>
          <w:i/>
          <w:iCs/>
          <w:sz w:val="24"/>
          <w:szCs w:val="24"/>
        </w:rPr>
        <w:t>erm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(B), </w:t>
      </w:r>
      <w:proofErr w:type="spellStart"/>
      <w:r w:rsidRPr="00B60153">
        <w:rPr>
          <w:rFonts w:ascii="Times New Roman" w:hAnsi="Times New Roman" w:cs="Times New Roman"/>
          <w:i/>
          <w:iCs/>
          <w:sz w:val="24"/>
          <w:szCs w:val="24"/>
        </w:rPr>
        <w:t>erm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(F), </w:t>
      </w:r>
      <w:proofErr w:type="spellStart"/>
      <w:r w:rsidRPr="00B60153">
        <w:rPr>
          <w:rFonts w:ascii="Times New Roman" w:hAnsi="Times New Roman" w:cs="Times New Roman"/>
          <w:i/>
          <w:iCs/>
          <w:sz w:val="24"/>
          <w:szCs w:val="24"/>
        </w:rPr>
        <w:t>mef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(A). A sertéslégzőszervi betegségek (PRDC) kezelésében gyakran használt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makrolidok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(pl.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tilozin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tulatromicin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) szelekciós nyomása miatt dúsulnak fel.</w:t>
      </w:r>
      <w:r w:rsidRPr="00B60153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07F2BD48" w14:textId="77777777" w:rsidR="00B60153" w:rsidRPr="00B60153" w:rsidRDefault="00B60153" w:rsidP="00B60153">
      <w:pPr>
        <w:numPr>
          <w:ilvl w:val="0"/>
          <w:numId w:val="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Kritikus fontosságú gének:</w:t>
      </w:r>
      <w:r w:rsidRPr="00B60153">
        <w:rPr>
          <w:rFonts w:ascii="Times New Roman" w:hAnsi="Times New Roman" w:cs="Times New Roman"/>
          <w:sz w:val="24"/>
          <w:szCs w:val="24"/>
        </w:rPr>
        <w:t> Különös kockázatot jelentenek a humán gyógyászatban utolsó választásnak számító szerek elleni gének, mint például a 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kolistin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-rezisztenciát</w:t>
      </w:r>
      <w:r w:rsidRPr="00B60153">
        <w:rPr>
          <w:rFonts w:ascii="Times New Roman" w:hAnsi="Times New Roman" w:cs="Times New Roman"/>
          <w:sz w:val="24"/>
          <w:szCs w:val="24"/>
        </w:rPr>
        <w:t> kódoló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mcr-1</w:t>
      </w:r>
      <w:r w:rsidRPr="00B60153">
        <w:rPr>
          <w:rFonts w:ascii="Times New Roman" w:hAnsi="Times New Roman" w:cs="Times New Roman"/>
          <w:sz w:val="24"/>
          <w:szCs w:val="24"/>
        </w:rPr>
        <w:t> (és variánsai), vagy a kiterjesztett spektrumú béta-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laktamázok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(ESBL) génjei (</w:t>
      </w:r>
      <w:proofErr w:type="spellStart"/>
      <w:r w:rsidRPr="00B60153">
        <w:rPr>
          <w:rFonts w:ascii="Times New Roman" w:hAnsi="Times New Roman" w:cs="Times New Roman"/>
          <w:i/>
          <w:iCs/>
          <w:sz w:val="24"/>
          <w:szCs w:val="24"/>
        </w:rPr>
        <w:t>blaCTX</w:t>
      </w:r>
      <w:proofErr w:type="spellEnd"/>
      <w:r w:rsidRPr="00B60153">
        <w:rPr>
          <w:rFonts w:ascii="Times New Roman" w:hAnsi="Times New Roman" w:cs="Times New Roman"/>
          <w:i/>
          <w:iCs/>
          <w:sz w:val="24"/>
          <w:szCs w:val="24"/>
        </w:rPr>
        <w:t>-M</w:t>
      </w:r>
      <w:r w:rsidRPr="00B6015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60153">
        <w:rPr>
          <w:rFonts w:ascii="Times New Roman" w:hAnsi="Times New Roman" w:cs="Times New Roman"/>
          <w:i/>
          <w:iCs/>
          <w:sz w:val="24"/>
          <w:szCs w:val="24"/>
        </w:rPr>
        <w:t>blaTEM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), amelyek gyakran a sertés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B60153">
        <w:rPr>
          <w:rFonts w:ascii="Times New Roman" w:hAnsi="Times New Roman" w:cs="Times New Roman"/>
          <w:sz w:val="24"/>
          <w:szCs w:val="24"/>
        </w:rPr>
        <w:t> populációjában dúsulnak fel.</w:t>
      </w:r>
      <w:r w:rsidRPr="00B60153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59696C94" w14:textId="53A728F7" w:rsidR="00402A14" w:rsidRDefault="00B60153" w:rsidP="00B6015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Mobil</w:t>
      </w:r>
      <w:r w:rsidR="00402A14">
        <w:rPr>
          <w:rFonts w:ascii="Times New Roman" w:hAnsi="Times New Roman" w:cs="Times New Roman"/>
          <w:b/>
          <w:bCs/>
          <w:sz w:val="24"/>
          <w:szCs w:val="24"/>
        </w:rPr>
        <w:t xml:space="preserve"> genetikai elemek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4B0F6D70" w14:textId="77777777" w:rsidR="00402A14" w:rsidRDefault="00B60153" w:rsidP="00402A14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rezisztencia gének horizontális átviteléért</w:t>
      </w:r>
      <w:r w:rsidR="00402A14">
        <w:rPr>
          <w:rFonts w:ascii="Times New Roman" w:hAnsi="Times New Roman" w:cs="Times New Roman"/>
          <w:sz w:val="24"/>
          <w:szCs w:val="24"/>
        </w:rPr>
        <w:t xml:space="preserve"> </w:t>
      </w:r>
      <w:r w:rsidRPr="00B60153">
        <w:rPr>
          <w:rFonts w:ascii="Times New Roman" w:hAnsi="Times New Roman" w:cs="Times New Roman"/>
          <w:sz w:val="24"/>
          <w:szCs w:val="24"/>
        </w:rPr>
        <w:t>felelős</w:t>
      </w:r>
      <w:r w:rsidR="00402A14">
        <w:rPr>
          <w:rFonts w:ascii="Times New Roman" w:hAnsi="Times New Roman" w:cs="Times New Roman"/>
          <w:sz w:val="24"/>
          <w:szCs w:val="24"/>
        </w:rPr>
        <w:t>ek</w:t>
      </w:r>
      <w:r w:rsidRPr="00B6015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EF01EE" w14:textId="77777777" w:rsidR="0045402E" w:rsidRDefault="00B60153" w:rsidP="0045402E">
      <w:pPr>
        <w:pStyle w:val="NormlWeb"/>
        <w:numPr>
          <w:ilvl w:val="0"/>
          <w:numId w:val="43"/>
        </w:numPr>
        <w:spacing w:before="0" w:beforeAutospacing="0" w:after="0" w:afterAutospacing="0"/>
        <w:jc w:val="both"/>
      </w:pPr>
      <w:r w:rsidRPr="00B60153">
        <w:rPr>
          <w:rFonts w:eastAsiaTheme="majorEastAsia"/>
        </w:rPr>
        <w:lastRenderedPageBreak/>
        <w:t>Ide tartoznak</w:t>
      </w:r>
      <w:r w:rsidR="0045402E">
        <w:t xml:space="preserve">: </w:t>
      </w:r>
    </w:p>
    <w:p w14:paraId="2AD5CFC0" w14:textId="7C30385B" w:rsidR="0045402E" w:rsidRPr="000868DC" w:rsidRDefault="0045402E" w:rsidP="0045402E">
      <w:pPr>
        <w:pStyle w:val="NormlWeb"/>
        <w:numPr>
          <w:ilvl w:val="1"/>
          <w:numId w:val="43"/>
        </w:numPr>
        <w:spacing w:before="0" w:beforeAutospacing="0" w:after="0" w:afterAutospacing="0"/>
        <w:jc w:val="both"/>
      </w:pPr>
      <w:proofErr w:type="spellStart"/>
      <w:r w:rsidRPr="000868DC">
        <w:rPr>
          <w:rStyle w:val="Kiemels2"/>
          <w:rFonts w:eastAsiaTheme="majorEastAsia"/>
        </w:rPr>
        <w:t>Plazmidok</w:t>
      </w:r>
      <w:proofErr w:type="spellEnd"/>
      <w:r w:rsidRPr="000868DC">
        <w:rPr>
          <w:rStyle w:val="Kiemels2"/>
          <w:rFonts w:eastAsiaTheme="majorEastAsia"/>
        </w:rPr>
        <w:t>:</w:t>
      </w:r>
      <w:r w:rsidRPr="000868DC">
        <w:t xml:space="preserve"> Önállóan </w:t>
      </w:r>
      <w:proofErr w:type="spellStart"/>
      <w:r w:rsidRPr="000868DC">
        <w:t>replikálódó</w:t>
      </w:r>
      <w:proofErr w:type="spellEnd"/>
      <w:r w:rsidRPr="000868DC">
        <w:t xml:space="preserve"> DNS-molekulák, amelyek gyakran több antibiotikum-rezisztencia gént hordoznak, és konjugáció révén hatékonyan terjesztik a multirezisztenciát baktériumok között.</w:t>
      </w:r>
    </w:p>
    <w:p w14:paraId="678FD356" w14:textId="77777777" w:rsidR="0045402E" w:rsidRPr="000868DC" w:rsidRDefault="0045402E" w:rsidP="0045402E">
      <w:pPr>
        <w:pStyle w:val="NormlWeb"/>
        <w:numPr>
          <w:ilvl w:val="1"/>
          <w:numId w:val="43"/>
        </w:numPr>
        <w:spacing w:before="0" w:beforeAutospacing="0" w:after="0" w:afterAutospacing="0"/>
        <w:jc w:val="both"/>
      </w:pPr>
      <w:proofErr w:type="spellStart"/>
      <w:r w:rsidRPr="000868DC">
        <w:rPr>
          <w:rStyle w:val="Kiemels2"/>
          <w:rFonts w:eastAsiaTheme="majorEastAsia"/>
        </w:rPr>
        <w:t>Transzpozonok</w:t>
      </w:r>
      <w:proofErr w:type="spellEnd"/>
      <w:r w:rsidRPr="000868DC">
        <w:rPr>
          <w:rStyle w:val="Kiemels2"/>
          <w:rFonts w:eastAsiaTheme="majorEastAsia"/>
        </w:rPr>
        <w:t xml:space="preserve"> és </w:t>
      </w:r>
      <w:proofErr w:type="spellStart"/>
      <w:r w:rsidRPr="000868DC">
        <w:rPr>
          <w:rStyle w:val="Kiemels2"/>
          <w:rFonts w:eastAsiaTheme="majorEastAsia"/>
        </w:rPr>
        <w:t>inserciós</w:t>
      </w:r>
      <w:proofErr w:type="spellEnd"/>
      <w:r w:rsidRPr="000868DC">
        <w:rPr>
          <w:rStyle w:val="Kiemels2"/>
          <w:rFonts w:eastAsiaTheme="majorEastAsia"/>
        </w:rPr>
        <w:t xml:space="preserve"> szekvenciák (IS):</w:t>
      </w:r>
      <w:r w:rsidRPr="000868DC">
        <w:t xml:space="preserve"> Saját </w:t>
      </w:r>
      <w:proofErr w:type="spellStart"/>
      <w:r w:rsidRPr="000868DC">
        <w:t>transzpozáz</w:t>
      </w:r>
      <w:proofErr w:type="spellEnd"/>
      <w:r w:rsidRPr="000868DC">
        <w:t xml:space="preserve"> enzimmel rendelkező mobil DNS-elemek, amelyek a genomon belül vagy </w:t>
      </w:r>
      <w:proofErr w:type="spellStart"/>
      <w:r w:rsidRPr="000868DC">
        <w:t>plazmid</w:t>
      </w:r>
      <w:proofErr w:type="spellEnd"/>
      <w:r w:rsidRPr="000868DC">
        <w:t xml:space="preserve"> és kromoszóma között mozogva rezisztenciagéneket képesek áthelyezni.</w:t>
      </w:r>
    </w:p>
    <w:p w14:paraId="13AB7B3D" w14:textId="77777777" w:rsidR="0045402E" w:rsidRPr="000868DC" w:rsidRDefault="0045402E" w:rsidP="0045402E">
      <w:pPr>
        <w:pStyle w:val="NormlWeb"/>
        <w:numPr>
          <w:ilvl w:val="1"/>
          <w:numId w:val="43"/>
        </w:numPr>
        <w:spacing w:before="0" w:beforeAutospacing="0" w:after="0" w:afterAutospacing="0"/>
        <w:jc w:val="both"/>
      </w:pPr>
      <w:proofErr w:type="spellStart"/>
      <w:r w:rsidRPr="000868DC">
        <w:rPr>
          <w:rStyle w:val="Kiemels2"/>
          <w:rFonts w:eastAsiaTheme="majorEastAsia"/>
        </w:rPr>
        <w:t>Integronok</w:t>
      </w:r>
      <w:proofErr w:type="spellEnd"/>
      <w:r w:rsidRPr="000868DC">
        <w:rPr>
          <w:rStyle w:val="Kiemels2"/>
          <w:rFonts w:eastAsiaTheme="majorEastAsia"/>
        </w:rPr>
        <w:t>:</w:t>
      </w:r>
      <w:r w:rsidRPr="000868DC">
        <w:t xml:space="preserve"> Génkazetták befogadására specializálódott genetikai elemek, amelyek önmagukban nem </w:t>
      </w:r>
      <w:proofErr w:type="spellStart"/>
      <w:r w:rsidRPr="000868DC">
        <w:t>mobilisak</w:t>
      </w:r>
      <w:proofErr w:type="spellEnd"/>
      <w:r w:rsidRPr="000868DC">
        <w:t xml:space="preserve">, de </w:t>
      </w:r>
      <w:proofErr w:type="spellStart"/>
      <w:r w:rsidRPr="000868DC">
        <w:t>plazmidokra</w:t>
      </w:r>
      <w:proofErr w:type="spellEnd"/>
      <w:r w:rsidRPr="000868DC">
        <w:t xml:space="preserve"> vagy </w:t>
      </w:r>
      <w:proofErr w:type="spellStart"/>
      <w:r w:rsidRPr="000868DC">
        <w:t>transzpozonokra</w:t>
      </w:r>
      <w:proofErr w:type="spellEnd"/>
      <w:r w:rsidRPr="000868DC">
        <w:t xml:space="preserve"> kapcsolódva hatékonyan gyűjtik és terjesztik az antibiotikum-rezisztencia géneket.</w:t>
      </w:r>
    </w:p>
    <w:p w14:paraId="34A38357" w14:textId="77777777" w:rsidR="0045402E" w:rsidRPr="000868DC" w:rsidRDefault="0045402E" w:rsidP="0045402E">
      <w:pPr>
        <w:pStyle w:val="Listaszerbekezds"/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Genomszigetek (</w:t>
      </w:r>
      <w:proofErr w:type="spellStart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genomic</w:t>
      </w:r>
      <w:proofErr w:type="spellEnd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islands</w:t>
      </w:r>
      <w:proofErr w:type="spellEnd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, GI):</w:t>
      </w:r>
      <w:r w:rsidRPr="000868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kromoszómába beépült, nagyobb DNS-szakaszok, amelyek gyakran idegen eredetű géneket – például rezisztencia- vagy virulenciagéneket – hordoznak, és a baktérium alkalmazkodását segítik.</w:t>
      </w:r>
    </w:p>
    <w:p w14:paraId="7FF27293" w14:textId="77777777" w:rsidR="0045402E" w:rsidRPr="000868DC" w:rsidRDefault="0045402E" w:rsidP="0045402E">
      <w:pPr>
        <w:pStyle w:val="Listaszerbekezds"/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ICE/IME elemek (integratív konjugációs és integratív mobilizálható elemek):</w:t>
      </w:r>
      <w:r w:rsidRPr="000868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baktérium kromoszómájába integrálódó, de konjugációval átvihető genetikai elemek, amelyek saját vagy segített mobilitás révén rezisztenciagéneket terjeszthetnek.</w:t>
      </w:r>
    </w:p>
    <w:p w14:paraId="4E014D89" w14:textId="50427F57" w:rsidR="0045402E" w:rsidRPr="0045402E" w:rsidRDefault="0045402E" w:rsidP="0045402E">
      <w:pPr>
        <w:pStyle w:val="Listaszerbekezds"/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Bakteriofágok:</w:t>
      </w:r>
      <w:r w:rsidRPr="000868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Baktériumokat fertőző vírusok, amelyek a gazdasejt DNS-ébe beépülve vagy csomagolási hibák révén képesek géneket – köztük antibiotikum-rezisztencia géneket – egyik baktériumból a másikba átjuttatni.</w:t>
      </w:r>
      <w:r w:rsidR="00B60153" w:rsidRPr="0045402E">
        <w:rPr>
          <w:rFonts w:ascii="Times New Roman" w:hAnsi="Times New Roman" w:cs="Times New Roman"/>
          <w:sz w:val="24"/>
          <w:szCs w:val="24"/>
        </w:rPr>
        <w:t> </w:t>
      </w:r>
    </w:p>
    <w:p w14:paraId="06541EFE" w14:textId="286EA325" w:rsidR="00B60153" w:rsidRDefault="00B60153" w:rsidP="0045402E">
      <w:pPr>
        <w:pStyle w:val="Listaszerbekezds"/>
        <w:numPr>
          <w:ilvl w:val="1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402E">
        <w:rPr>
          <w:rFonts w:ascii="Times New Roman" w:hAnsi="Times New Roman" w:cs="Times New Roman"/>
          <w:sz w:val="24"/>
          <w:szCs w:val="24"/>
        </w:rPr>
        <w:t>A kockázatértékelés szempontjából az MGE-khez kötött ("mobilizálható") ARG-k jelentik a legnagyobb veszélyt, mivel ezek képesek fajhatárokat átlépve terjedni a környezeti baktériumok és a humán </w:t>
      </w:r>
      <w:proofErr w:type="spellStart"/>
      <w:r w:rsidRPr="0045402E">
        <w:rPr>
          <w:rFonts w:ascii="Times New Roman" w:hAnsi="Times New Roman" w:cs="Times New Roman"/>
          <w:sz w:val="24"/>
          <w:szCs w:val="24"/>
        </w:rPr>
        <w:t>patogének</w:t>
      </w:r>
      <w:proofErr w:type="spellEnd"/>
      <w:r w:rsidRPr="0045402E">
        <w:rPr>
          <w:rFonts w:ascii="Times New Roman" w:hAnsi="Times New Roman" w:cs="Times New Roman"/>
          <w:sz w:val="24"/>
          <w:szCs w:val="24"/>
        </w:rPr>
        <w:t> között.</w:t>
      </w:r>
    </w:p>
    <w:p w14:paraId="4018A1F6" w14:textId="77777777" w:rsidR="0045402E" w:rsidRPr="0045402E" w:rsidRDefault="0045402E" w:rsidP="0045402E">
      <w:pPr>
        <w:pStyle w:val="Listaszerbekezds"/>
        <w:spacing w:after="0"/>
        <w:ind w:left="1500"/>
        <w:jc w:val="both"/>
        <w:rPr>
          <w:rFonts w:ascii="Times New Roman" w:hAnsi="Times New Roman" w:cs="Times New Roman"/>
          <w:sz w:val="24"/>
          <w:szCs w:val="24"/>
        </w:rPr>
      </w:pPr>
    </w:p>
    <w:p w14:paraId="6435B3B6" w14:textId="78B37585" w:rsidR="00B60153" w:rsidRPr="00B60153" w:rsidRDefault="00B60153" w:rsidP="00B601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3. Környezeti Kockázatértékelési Modellek </w:t>
      </w:r>
    </w:p>
    <w:p w14:paraId="68810197" w14:textId="77777777" w:rsidR="0045402E" w:rsidRDefault="00B60153" w:rsidP="00B601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</w:t>
      </w:r>
      <w:r w:rsidR="0045402E">
        <w:rPr>
          <w:rFonts w:ascii="Times New Roman" w:hAnsi="Times New Roman" w:cs="Times New Roman"/>
          <w:sz w:val="24"/>
          <w:szCs w:val="24"/>
        </w:rPr>
        <w:t>z</w:t>
      </w:r>
      <w:r w:rsidRPr="00B60153">
        <w:rPr>
          <w:rFonts w:ascii="Times New Roman" w:hAnsi="Times New Roman" w:cs="Times New Roman"/>
          <w:sz w:val="24"/>
          <w:szCs w:val="24"/>
        </w:rPr>
        <w:t xml:space="preserve"> alkalmazott kockázatértékelés két fő megközelítésre épül: </w:t>
      </w:r>
    </w:p>
    <w:p w14:paraId="118318F3" w14:textId="77777777" w:rsidR="0045402E" w:rsidRDefault="00B60153" w:rsidP="0045402E">
      <w:pPr>
        <w:pStyle w:val="Listaszerbekezds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402E">
        <w:rPr>
          <w:rFonts w:ascii="Times New Roman" w:hAnsi="Times New Roman" w:cs="Times New Roman"/>
          <w:sz w:val="24"/>
          <w:szCs w:val="24"/>
        </w:rPr>
        <w:t xml:space="preserve">a kémiai alapú (antibiotikum-maradványok) </w:t>
      </w:r>
    </w:p>
    <w:p w14:paraId="7B3C4B38" w14:textId="29BEA315" w:rsidR="00B60153" w:rsidRDefault="00B60153" w:rsidP="0045402E">
      <w:pPr>
        <w:pStyle w:val="Listaszerbekezds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402E">
        <w:rPr>
          <w:rFonts w:ascii="Times New Roman" w:hAnsi="Times New Roman" w:cs="Times New Roman"/>
          <w:sz w:val="24"/>
          <w:szCs w:val="24"/>
        </w:rPr>
        <w:t>mikrobiológiai alapú (rezisztencia gének) becslésre. </w:t>
      </w:r>
    </w:p>
    <w:p w14:paraId="6E48F2D9" w14:textId="77777777" w:rsidR="0045402E" w:rsidRPr="0045402E" w:rsidRDefault="0045402E" w:rsidP="0045402E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39F02C" w14:textId="38C0329B" w:rsidR="0045402E" w:rsidRPr="00B60153" w:rsidRDefault="00B60153" w:rsidP="00B601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3.1. Kémiai kockázatértékelés</w:t>
      </w:r>
    </w:p>
    <w:p w14:paraId="3113D670" w14:textId="77777777" w:rsidR="0045402E" w:rsidRDefault="00B60153" w:rsidP="0045402E">
      <w:pPr>
        <w:pStyle w:val="Listaszerbekezds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402E">
        <w:rPr>
          <w:rFonts w:ascii="Times New Roman" w:hAnsi="Times New Roman" w:cs="Times New Roman"/>
          <w:sz w:val="24"/>
          <w:szCs w:val="24"/>
        </w:rPr>
        <w:t>Ez a klasszikus toxikológiai megközelítés, amelyet az Európai Gyógyszerügynökség (EMA) irányelvei írnak elő az állatgyógyászati készítmények engedélyezésekor</w:t>
      </w:r>
      <w:r w:rsidR="0045402E">
        <w:rPr>
          <w:rFonts w:ascii="Times New Roman" w:hAnsi="Times New Roman" w:cs="Times New Roman"/>
          <w:sz w:val="24"/>
          <w:szCs w:val="24"/>
        </w:rPr>
        <w:t>.</w:t>
      </w:r>
      <w:r w:rsidRPr="0045402E">
        <w:rPr>
          <w:rFonts w:ascii="Times New Roman" w:hAnsi="Times New Roman" w:cs="Times New Roman"/>
          <w:sz w:val="24"/>
          <w:szCs w:val="24"/>
        </w:rPr>
        <w:t> </w:t>
      </w:r>
    </w:p>
    <w:p w14:paraId="45075130" w14:textId="406227F8" w:rsidR="0045402E" w:rsidRDefault="00B60153" w:rsidP="0045402E">
      <w:pPr>
        <w:pStyle w:val="Listaszerbekezds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402E">
        <w:rPr>
          <w:rFonts w:ascii="Times New Roman" w:hAnsi="Times New Roman" w:cs="Times New Roman"/>
          <w:sz w:val="24"/>
          <w:szCs w:val="24"/>
        </w:rPr>
        <w:t>A modell célja annak meghatározása, hogy az antibiotikum-maradványok milyen koncentrációban kerülnek a környezetbe és ez jelent-e ökológiai kockázatot</w:t>
      </w:r>
      <w:r w:rsidR="0045402E">
        <w:rPr>
          <w:rFonts w:ascii="Times New Roman" w:hAnsi="Times New Roman" w:cs="Times New Roman"/>
          <w:sz w:val="24"/>
          <w:szCs w:val="24"/>
        </w:rPr>
        <w:t xml:space="preserve">, amit </w:t>
      </w:r>
      <w:r w:rsidRPr="0045402E">
        <w:rPr>
          <w:rFonts w:ascii="Times New Roman" w:hAnsi="Times New Roman" w:cs="Times New Roman"/>
          <w:sz w:val="24"/>
          <w:szCs w:val="24"/>
        </w:rPr>
        <w:t>a </w:t>
      </w:r>
      <w:r w:rsidRPr="0045402E">
        <w:rPr>
          <w:rFonts w:ascii="Times New Roman" w:hAnsi="Times New Roman" w:cs="Times New Roman"/>
          <w:b/>
          <w:bCs/>
          <w:sz w:val="24"/>
          <w:szCs w:val="24"/>
        </w:rPr>
        <w:t>Kockázati Hányados (</w:t>
      </w:r>
      <w:proofErr w:type="spellStart"/>
      <w:r w:rsidRPr="0045402E">
        <w:rPr>
          <w:rFonts w:ascii="Times New Roman" w:hAnsi="Times New Roman" w:cs="Times New Roman"/>
          <w:b/>
          <w:bCs/>
          <w:sz w:val="24"/>
          <w:szCs w:val="24"/>
        </w:rPr>
        <w:t>Risk</w:t>
      </w:r>
      <w:proofErr w:type="spellEnd"/>
      <w:r w:rsidRPr="0045402E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5402E">
        <w:rPr>
          <w:rFonts w:ascii="Times New Roman" w:hAnsi="Times New Roman" w:cs="Times New Roman"/>
          <w:b/>
          <w:bCs/>
          <w:sz w:val="24"/>
          <w:szCs w:val="24"/>
        </w:rPr>
        <w:t>Quotient</w:t>
      </w:r>
      <w:proofErr w:type="spellEnd"/>
      <w:r w:rsidRPr="0045402E">
        <w:rPr>
          <w:rFonts w:ascii="Times New Roman" w:hAnsi="Times New Roman" w:cs="Times New Roman"/>
          <w:b/>
          <w:bCs/>
          <w:sz w:val="24"/>
          <w:szCs w:val="24"/>
        </w:rPr>
        <w:t> - RQ)</w:t>
      </w:r>
      <w:r w:rsidRPr="0045402E">
        <w:rPr>
          <w:rFonts w:ascii="Times New Roman" w:hAnsi="Times New Roman" w:cs="Times New Roman"/>
          <w:sz w:val="24"/>
          <w:szCs w:val="24"/>
        </w:rPr>
        <w:t> fejezi ki: </w:t>
      </w:r>
    </w:p>
    <w:p w14:paraId="76D3DD25" w14:textId="393D3595" w:rsidR="007C0EF4" w:rsidRDefault="007C0EF4" w:rsidP="007C0EF4">
      <w:pPr>
        <w:pStyle w:val="Listaszerbekezds"/>
        <w:numPr>
          <w:ilvl w:val="0"/>
          <w:numId w:val="46"/>
        </w:num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3D672C" wp14:editId="262D1F97">
            <wp:extent cx="2792437" cy="1791734"/>
            <wp:effectExtent l="0" t="0" r="0" b="0"/>
            <wp:docPr id="133032560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560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3221" cy="181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ADC2" w14:textId="2098FD17" w:rsidR="00F33292" w:rsidRPr="00F33292" w:rsidRDefault="0045402E" w:rsidP="00F33292">
      <w:pPr>
        <w:pStyle w:val="Listaszerbekezds"/>
        <w:numPr>
          <w:ilvl w:val="1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megbecsülnek egy</w:t>
      </w:r>
      <w:r w:rsidR="00B60153" w:rsidRPr="0045402E">
        <w:rPr>
          <w:rFonts w:ascii="Times New Roman" w:hAnsi="Times New Roman" w:cs="Times New Roman"/>
          <w:b/>
          <w:bCs/>
          <w:sz w:val="24"/>
          <w:szCs w:val="24"/>
        </w:rPr>
        <w:t xml:space="preserve"> Környezeti Koncentráció</w:t>
      </w:r>
      <w:r w:rsidR="00F07599">
        <w:rPr>
          <w:rFonts w:ascii="Times New Roman" w:hAnsi="Times New Roman" w:cs="Times New Roman"/>
          <w:b/>
          <w:bCs/>
          <w:sz w:val="24"/>
          <w:szCs w:val="24"/>
        </w:rPr>
        <w:t>t (PEC)</w:t>
      </w:r>
    </w:p>
    <w:p w14:paraId="244A4939" w14:textId="2318D586" w:rsidR="00F33292" w:rsidRDefault="00F33292" w:rsidP="00F33292">
      <w:pPr>
        <w:pStyle w:val="Listaszerbekezds"/>
        <w:numPr>
          <w:ilvl w:val="1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33292">
        <w:rPr>
          <w:rFonts w:ascii="Times New Roman" w:hAnsi="Times New Roman" w:cs="Times New Roman"/>
          <w:b/>
          <w:bCs/>
          <w:sz w:val="24"/>
          <w:szCs w:val="24"/>
        </w:rPr>
        <w:lastRenderedPageBreak/>
        <w:t>Becsült koncentráció a talajban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(PEC – talaj)</w:t>
      </w:r>
      <w:r w:rsidR="00B60153" w:rsidRPr="00F332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60153" w:rsidRPr="00F332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F4BD2B" w14:textId="77777777" w:rsidR="00F33292" w:rsidRDefault="00B60153" w:rsidP="00F33292">
      <w:pPr>
        <w:pStyle w:val="Listaszerbekezds"/>
        <w:numPr>
          <w:ilvl w:val="2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33292">
        <w:rPr>
          <w:rFonts w:ascii="Times New Roman" w:hAnsi="Times New Roman" w:cs="Times New Roman"/>
          <w:sz w:val="24"/>
          <w:szCs w:val="24"/>
        </w:rPr>
        <w:t xml:space="preserve">a hígtrágyát szántóföldre juttatják ki. </w:t>
      </w:r>
    </w:p>
    <w:p w14:paraId="5E70FE20" w14:textId="77777777" w:rsidR="00F33292" w:rsidRDefault="00B60153" w:rsidP="00F33292">
      <w:pPr>
        <w:pStyle w:val="Listaszerbekezds"/>
        <w:numPr>
          <w:ilvl w:val="2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33292">
        <w:rPr>
          <w:rFonts w:ascii="Times New Roman" w:hAnsi="Times New Roman" w:cs="Times New Roman"/>
          <w:sz w:val="24"/>
          <w:szCs w:val="24"/>
        </w:rPr>
        <w:t>A számítás alapja a </w:t>
      </w:r>
      <w:r w:rsidRPr="00F33292">
        <w:rPr>
          <w:rFonts w:ascii="Times New Roman" w:hAnsi="Times New Roman" w:cs="Times New Roman"/>
          <w:b/>
          <w:bCs/>
          <w:sz w:val="24"/>
          <w:szCs w:val="24"/>
        </w:rPr>
        <w:t>teljes terhelés elve</w:t>
      </w:r>
      <w:r w:rsidRPr="00F3329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90675F7" w14:textId="2830426C" w:rsidR="00F33292" w:rsidRDefault="00F33292" w:rsidP="00F33292">
      <w:pPr>
        <w:pStyle w:val="Listaszerbekezds"/>
        <w:numPr>
          <w:ilvl w:val="3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33292">
        <w:rPr>
          <w:rFonts w:ascii="Times New Roman" w:hAnsi="Times New Roman" w:cs="Times New Roman"/>
          <w:sz w:val="24"/>
          <w:szCs w:val="24"/>
        </w:rPr>
        <w:t>figyelembe veszik</w:t>
      </w:r>
      <w:r w:rsidR="00B60153" w:rsidRPr="00F33292">
        <w:rPr>
          <w:rFonts w:ascii="Times New Roman" w:hAnsi="Times New Roman" w:cs="Times New Roman"/>
          <w:sz w:val="24"/>
          <w:szCs w:val="24"/>
        </w:rPr>
        <w:t xml:space="preserve"> a Nitrát-irányelv korlátozásait</w:t>
      </w:r>
    </w:p>
    <w:p w14:paraId="22D3308D" w14:textId="1BADA0AF" w:rsidR="00F33292" w:rsidRPr="00F33292" w:rsidRDefault="00F33292" w:rsidP="00F33292">
      <w:pPr>
        <w:pStyle w:val="Listaszerbekezds"/>
        <w:numPr>
          <w:ilvl w:val="1"/>
          <w:numId w:val="4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292">
        <w:rPr>
          <w:rFonts w:ascii="Times New Roman" w:hAnsi="Times New Roman" w:cs="Times New Roman"/>
          <w:b/>
          <w:bCs/>
          <w:sz w:val="24"/>
          <w:szCs w:val="24"/>
        </w:rPr>
        <w:t>Becsült koncentráció a talajvízben (PEC – talajvíz):</w:t>
      </w:r>
    </w:p>
    <w:p w14:paraId="479D5180" w14:textId="77777777" w:rsidR="00F33292" w:rsidRDefault="00F33292" w:rsidP="00F33292">
      <w:pPr>
        <w:pStyle w:val="Listaszerbekezds"/>
        <w:numPr>
          <w:ilvl w:val="2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33292">
        <w:rPr>
          <w:rFonts w:ascii="Times New Roman" w:hAnsi="Times New Roman" w:cs="Times New Roman"/>
          <w:sz w:val="24"/>
          <w:szCs w:val="24"/>
        </w:rPr>
        <w:t xml:space="preserve">modellezni kell a hatóanyag </w:t>
      </w:r>
      <w:r>
        <w:rPr>
          <w:rFonts w:ascii="Times New Roman" w:hAnsi="Times New Roman" w:cs="Times New Roman"/>
          <w:sz w:val="24"/>
          <w:szCs w:val="24"/>
        </w:rPr>
        <w:t>be</w:t>
      </w:r>
      <w:r w:rsidRPr="00F33292">
        <w:rPr>
          <w:rFonts w:ascii="Times New Roman" w:hAnsi="Times New Roman" w:cs="Times New Roman"/>
          <w:sz w:val="24"/>
          <w:szCs w:val="24"/>
        </w:rPr>
        <w:t xml:space="preserve">mosódását a talajvízbe, különösen, ha a szer mobilis és </w:t>
      </w:r>
      <w:proofErr w:type="spellStart"/>
      <w:r w:rsidRPr="00F33292">
        <w:rPr>
          <w:rFonts w:ascii="Times New Roman" w:hAnsi="Times New Roman" w:cs="Times New Roman"/>
          <w:sz w:val="24"/>
          <w:szCs w:val="24"/>
        </w:rPr>
        <w:t>perzisztens</w:t>
      </w:r>
      <w:proofErr w:type="spellEnd"/>
      <w:r w:rsidRPr="00F3329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7113C1" w14:textId="26A836A2" w:rsidR="00F33292" w:rsidRPr="00F33292" w:rsidRDefault="00F33292" w:rsidP="00F33292">
      <w:pPr>
        <w:pStyle w:val="Listaszerbekezds"/>
        <w:numPr>
          <w:ilvl w:val="2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33292">
        <w:rPr>
          <w:rFonts w:ascii="Times New Roman" w:hAnsi="Times New Roman" w:cs="Times New Roman"/>
          <w:sz w:val="24"/>
          <w:szCs w:val="24"/>
        </w:rPr>
        <w:t xml:space="preserve">A határérték a </w:t>
      </w:r>
      <w:proofErr w:type="spellStart"/>
      <w:r w:rsidRPr="00F33292">
        <w:rPr>
          <w:rFonts w:ascii="Times New Roman" w:hAnsi="Times New Roman" w:cs="Times New Roman"/>
          <w:sz w:val="24"/>
          <w:szCs w:val="24"/>
        </w:rPr>
        <w:t>peszticidekre</w:t>
      </w:r>
      <w:proofErr w:type="spellEnd"/>
      <w:r w:rsidRPr="00F33292">
        <w:rPr>
          <w:rFonts w:ascii="Times New Roman" w:hAnsi="Times New Roman" w:cs="Times New Roman"/>
          <w:sz w:val="24"/>
          <w:szCs w:val="24"/>
        </w:rPr>
        <w:t xml:space="preserve"> vonatkozó ivóvíz-szabványból ered.</w:t>
      </w:r>
    </w:p>
    <w:p w14:paraId="06F97D19" w14:textId="77777777" w:rsidR="007C0EF4" w:rsidRDefault="00B60153" w:rsidP="00B60153">
      <w:pPr>
        <w:pStyle w:val="Listaszerbekezds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0EF4">
        <w:rPr>
          <w:rFonts w:ascii="Times New Roman" w:hAnsi="Times New Roman" w:cs="Times New Roman"/>
          <w:sz w:val="24"/>
          <w:szCs w:val="24"/>
        </w:rPr>
        <w:t xml:space="preserve">A </w:t>
      </w:r>
      <w:r w:rsidR="00F33292" w:rsidRPr="007C0EF4">
        <w:rPr>
          <w:rFonts w:ascii="Times New Roman" w:hAnsi="Times New Roman" w:cs="Times New Roman"/>
          <w:sz w:val="24"/>
          <w:szCs w:val="24"/>
        </w:rPr>
        <w:t xml:space="preserve">koncentrációk becslésekor </w:t>
      </w:r>
      <w:r w:rsidR="007C0EF4" w:rsidRPr="007C0EF4">
        <w:rPr>
          <w:rFonts w:ascii="Times New Roman" w:hAnsi="Times New Roman" w:cs="Times New Roman"/>
          <w:sz w:val="24"/>
          <w:szCs w:val="24"/>
        </w:rPr>
        <w:t xml:space="preserve">(PEC) </w:t>
      </w:r>
      <w:r w:rsidR="00F33292" w:rsidRPr="007C0EF4">
        <w:rPr>
          <w:rFonts w:ascii="Times New Roman" w:hAnsi="Times New Roman" w:cs="Times New Roman"/>
          <w:sz w:val="24"/>
          <w:szCs w:val="24"/>
        </w:rPr>
        <w:t xml:space="preserve">figyelembe veszik: </w:t>
      </w:r>
    </w:p>
    <w:p w14:paraId="138FE6E5" w14:textId="1E8C49D7" w:rsidR="00B60153" w:rsidRPr="00B60153" w:rsidRDefault="00B60153" w:rsidP="007C0EF4">
      <w:pPr>
        <w:pStyle w:val="Listaszerbekezds"/>
        <w:numPr>
          <w:ilvl w:val="1"/>
          <w:numId w:val="10"/>
        </w:numPr>
        <w:tabs>
          <w:tab w:val="clear" w:pos="1440"/>
        </w:tabs>
        <w:spacing w:after="0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dózist (mg/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ttkg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). </w:t>
      </w:r>
    </w:p>
    <w:p w14:paraId="1299AA46" w14:textId="081AEC6E" w:rsidR="00B60153" w:rsidRPr="00B60153" w:rsidRDefault="00B60153" w:rsidP="00B60153">
      <w:pPr>
        <w:numPr>
          <w:ilvl w:val="0"/>
          <w:numId w:val="1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kezelt állatok arányát a telepen. </w:t>
      </w:r>
    </w:p>
    <w:p w14:paraId="2C25F30F" w14:textId="77777777" w:rsidR="00B60153" w:rsidRPr="00B60153" w:rsidRDefault="00B60153" w:rsidP="00B60153">
      <w:pPr>
        <w:numPr>
          <w:ilvl w:val="0"/>
          <w:numId w:val="1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kezelés időtartamát. </w:t>
      </w:r>
    </w:p>
    <w:p w14:paraId="46EA3FB2" w14:textId="77777777" w:rsidR="00B60153" w:rsidRPr="00B60153" w:rsidRDefault="00B60153" w:rsidP="00B60153">
      <w:pPr>
        <w:numPr>
          <w:ilvl w:val="0"/>
          <w:numId w:val="1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Az állat testtömegét és a termelt trágya mennyiségét. </w:t>
      </w:r>
    </w:p>
    <w:p w14:paraId="239A60D0" w14:textId="1CCE8952" w:rsidR="00B60153" w:rsidRPr="00B60153" w:rsidRDefault="00B60153" w:rsidP="00B60153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trágyatárolás során bekövetkező lebomlást. </w:t>
      </w:r>
    </w:p>
    <w:p w14:paraId="7480DA89" w14:textId="61FC13B1" w:rsidR="00B60153" w:rsidRDefault="00B60153" w:rsidP="00B60153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 xml:space="preserve">A talajban történő </w:t>
      </w:r>
      <w:r w:rsidR="007C0EF4">
        <w:rPr>
          <w:rFonts w:ascii="Times New Roman" w:hAnsi="Times New Roman" w:cs="Times New Roman"/>
          <w:sz w:val="24"/>
          <w:szCs w:val="24"/>
        </w:rPr>
        <w:t>koncentrációcsökkenést</w:t>
      </w:r>
      <w:r w:rsidRPr="00B60153">
        <w:rPr>
          <w:rFonts w:ascii="Times New Roman" w:hAnsi="Times New Roman" w:cs="Times New Roman"/>
          <w:sz w:val="24"/>
          <w:szCs w:val="24"/>
        </w:rPr>
        <w:t xml:space="preserve"> (általában 5 cm mélységig számolva).</w:t>
      </w:r>
    </w:p>
    <w:p w14:paraId="2FEF69CD" w14:textId="77777777" w:rsidR="007C0EF4" w:rsidRPr="00B60153" w:rsidRDefault="007C0EF4" w:rsidP="007C0EF4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2D5CBBAD" w14:textId="5D9F1E82" w:rsidR="00B60153" w:rsidRPr="00B60153" w:rsidRDefault="00B60153" w:rsidP="00B60153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PNEC (Becsült Hatástalan Koncentráció):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5998A115" w14:textId="55D301CE" w:rsidR="00B60153" w:rsidRPr="00B60153" w:rsidRDefault="00B60153" w:rsidP="00B60153">
      <w:pPr>
        <w:numPr>
          <w:ilvl w:val="0"/>
          <w:numId w:val="1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Az a küszöbérték, amely alatt nem várható káros hatás a nem-célszervezetekre (pl. talajbaktériumok, földigiliszták, vízi algák). </w:t>
      </w:r>
    </w:p>
    <w:p w14:paraId="4F68762C" w14:textId="2D5B1DF2" w:rsidR="00B60153" w:rsidRPr="00B60153" w:rsidRDefault="00B60153" w:rsidP="00B60153">
      <w:pPr>
        <w:numPr>
          <w:ilvl w:val="0"/>
          <w:numId w:val="1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 xml:space="preserve">A rezisztencia szempontjából újabban </w:t>
      </w:r>
      <w:r w:rsidR="007C0EF4">
        <w:rPr>
          <w:rFonts w:ascii="Times New Roman" w:hAnsi="Times New Roman" w:cs="Times New Roman"/>
          <w:sz w:val="24"/>
          <w:szCs w:val="24"/>
        </w:rPr>
        <w:t xml:space="preserve">használják </w:t>
      </w:r>
      <w:r w:rsidRPr="00B60153">
        <w:rPr>
          <w:rFonts w:ascii="Times New Roman" w:hAnsi="Times New Roman" w:cs="Times New Roman"/>
          <w:sz w:val="24"/>
          <w:szCs w:val="24"/>
        </w:rPr>
        <w:t>a</w:t>
      </w:r>
      <w:r w:rsidR="007C0EF4">
        <w:rPr>
          <w:rFonts w:ascii="Times New Roman" w:hAnsi="Times New Roman" w:cs="Times New Roman"/>
          <w:sz w:val="24"/>
          <w:szCs w:val="24"/>
        </w:rPr>
        <w:t>z</w:t>
      </w:r>
      <w:r w:rsidR="007C0EF4" w:rsidRPr="00B601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MSC (Minimum 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Selective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 Concentration)</w:t>
      </w:r>
      <w:r w:rsidRPr="00B60153">
        <w:rPr>
          <w:rFonts w:ascii="Times New Roman" w:hAnsi="Times New Roman" w:cs="Times New Roman"/>
          <w:sz w:val="24"/>
          <w:szCs w:val="24"/>
        </w:rPr>
        <w:t> fogalma</w:t>
      </w:r>
      <w:r w:rsidR="007C0EF4">
        <w:rPr>
          <w:rFonts w:ascii="Times New Roman" w:hAnsi="Times New Roman" w:cs="Times New Roman"/>
          <w:sz w:val="24"/>
          <w:szCs w:val="24"/>
        </w:rPr>
        <w:t xml:space="preserve">t. </w:t>
      </w:r>
      <w:r w:rsidRPr="00B60153">
        <w:rPr>
          <w:rFonts w:ascii="Times New Roman" w:hAnsi="Times New Roman" w:cs="Times New Roman"/>
          <w:sz w:val="24"/>
          <w:szCs w:val="24"/>
        </w:rPr>
        <w:t xml:space="preserve">Ez az a legalacsonyabb antibiotikum-koncentráció, amely már szelekciós előnyt biztosít a rezisztens baktériumoknak az érzékenyekkel szemben. </w:t>
      </w:r>
    </w:p>
    <w:p w14:paraId="758A6420" w14:textId="77777777" w:rsidR="00B60153" w:rsidRPr="00B60153" w:rsidRDefault="00B60153" w:rsidP="00B601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Értelmezés: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59302047" w14:textId="4048C7B8" w:rsidR="00B60153" w:rsidRPr="00B60153" w:rsidRDefault="00B60153" w:rsidP="00B60153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Ha 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RQ &lt;1</w:t>
      </w:r>
      <w:r w:rsidRPr="00B60153">
        <w:rPr>
          <w:rFonts w:ascii="Times New Roman" w:hAnsi="Times New Roman" w:cs="Times New Roman"/>
          <w:sz w:val="24"/>
          <w:szCs w:val="24"/>
        </w:rPr>
        <w:t>: A kockázat elfogadható. </w:t>
      </w:r>
    </w:p>
    <w:p w14:paraId="196B2E58" w14:textId="77777777" w:rsidR="00AD6A3C" w:rsidRDefault="00B60153" w:rsidP="00B6015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Ha 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RQ</w:t>
      </w:r>
      <w:r w:rsidR="00D05B73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60153">
        <w:rPr>
          <w:rFonts w:ascii="Times New Roman" w:hAnsi="Times New Roman" w:cs="Times New Roman"/>
          <w:sz w:val="24"/>
          <w:szCs w:val="24"/>
        </w:rPr>
        <w:t>: A kockázat elfogadhatatlan, és </w:t>
      </w:r>
      <w:r w:rsidRPr="00B60153">
        <w:rPr>
          <w:rFonts w:ascii="Times New Roman" w:hAnsi="Times New Roman" w:cs="Times New Roman"/>
          <w:b/>
          <w:bCs/>
          <w:sz w:val="24"/>
          <w:szCs w:val="24"/>
        </w:rPr>
        <w:t xml:space="preserve">Kockázatcsökkentő Intézkedésekre </w:t>
      </w:r>
      <w:r w:rsidRPr="00B60153">
        <w:rPr>
          <w:rFonts w:ascii="Times New Roman" w:hAnsi="Times New Roman" w:cs="Times New Roman"/>
          <w:sz w:val="24"/>
          <w:szCs w:val="24"/>
        </w:rPr>
        <w:t>van szükség. Ilyen lehet a kezelés korlátozása, a trágya hosszabb tárolása a lebomlás érdekében</w:t>
      </w:r>
      <w:r w:rsidR="00D05B73">
        <w:rPr>
          <w:rFonts w:ascii="Times New Roman" w:hAnsi="Times New Roman" w:cs="Times New Roman"/>
          <w:sz w:val="24"/>
          <w:szCs w:val="24"/>
        </w:rPr>
        <w:t>, ezt feltüntetik a</w:t>
      </w:r>
      <w:r w:rsidR="00D05B73" w:rsidRPr="00D05B73">
        <w:rPr>
          <w:rFonts w:ascii="Times New Roman" w:hAnsi="Times New Roman" w:cs="Times New Roman"/>
          <w:sz w:val="24"/>
          <w:szCs w:val="24"/>
        </w:rPr>
        <w:t xml:space="preserve"> készítmény alkalmazási előírásában</w:t>
      </w:r>
      <w:r w:rsidR="00D05B73">
        <w:rPr>
          <w:rFonts w:ascii="Times New Roman" w:hAnsi="Times New Roman" w:cs="Times New Roman"/>
          <w:sz w:val="24"/>
          <w:szCs w:val="24"/>
        </w:rPr>
        <w:t xml:space="preserve"> (SPC).</w:t>
      </w:r>
    </w:p>
    <w:p w14:paraId="265318FD" w14:textId="49533D80" w:rsidR="00B60153" w:rsidRPr="00B60153" w:rsidRDefault="00D05B73" w:rsidP="00AD6A3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F2698A" w14:textId="77777777" w:rsidR="00B60153" w:rsidRPr="00B60153" w:rsidRDefault="00B60153" w:rsidP="00B601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3.2. Kvantitatív Mikrobiális Kockázatértékelés (QMRA) </w:t>
      </w:r>
    </w:p>
    <w:p w14:paraId="62FB6BA9" w14:textId="3999BF99" w:rsidR="00AD6A3C" w:rsidRDefault="00AD6A3C" w:rsidP="00AD6A3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D6A3C">
        <w:rPr>
          <w:rFonts w:ascii="Times New Roman" w:hAnsi="Times New Roman" w:cs="Times New Roman"/>
          <w:sz w:val="24"/>
          <w:szCs w:val="24"/>
        </w:rPr>
        <w:t>Mikro</w:t>
      </w:r>
      <w:r w:rsidR="00B60153" w:rsidRPr="00AD6A3C">
        <w:rPr>
          <w:rFonts w:ascii="Times New Roman" w:hAnsi="Times New Roman" w:cs="Times New Roman"/>
          <w:sz w:val="24"/>
          <w:szCs w:val="24"/>
        </w:rPr>
        <w:t>biológiai veszélyforrások (ARB-k és ARG-k) humán egészségre gyakorolt kockázatát </w:t>
      </w:r>
      <w:proofErr w:type="spellStart"/>
      <w:r w:rsidR="00B60153" w:rsidRPr="00AD6A3C">
        <w:rPr>
          <w:rFonts w:ascii="Times New Roman" w:hAnsi="Times New Roman" w:cs="Times New Roman"/>
          <w:sz w:val="24"/>
          <w:szCs w:val="24"/>
        </w:rPr>
        <w:t>becsli</w:t>
      </w:r>
      <w:proofErr w:type="spellEnd"/>
      <w:r w:rsidR="00B60153" w:rsidRPr="00AD6A3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385BBE" w14:textId="5B11E70F" w:rsidR="00AD6A3C" w:rsidRDefault="00AD6A3C" w:rsidP="00AD6A3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Mint módszertan elfogadott, standardizált keretrendszer</w:t>
      </w:r>
    </w:p>
    <w:p w14:paraId="414D60C0" w14:textId="765B08B2" w:rsidR="00AD6A3C" w:rsidRDefault="00AD6A3C" w:rsidP="00AD6A3C">
      <w:pPr>
        <w:pStyle w:val="Listaszerbekezds"/>
        <w:numPr>
          <w:ilvl w:val="1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évtizedek óta használja a pl. a WHO, FAO</w:t>
      </w:r>
    </w:p>
    <w:p w14:paraId="7344FFA3" w14:textId="2893F4A6" w:rsidR="00AD6A3C" w:rsidRDefault="00AD6A3C" w:rsidP="00AD6A3C">
      <w:pPr>
        <w:pStyle w:val="Listaszerbekezds"/>
        <w:numPr>
          <w:ilvl w:val="1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D6A3C">
        <w:rPr>
          <w:rFonts w:ascii="Times New Roman" w:hAnsi="Times New Roman" w:cs="Times New Roman"/>
          <w:sz w:val="24"/>
          <w:szCs w:val="24"/>
        </w:rPr>
        <w:t>számszerűsíteni annak valószínűségét, hogy egy mikrobiológiai veszélyforrás emberi egészségkárosodást okoz egy adott expozíciós útvonalon.</w:t>
      </w:r>
    </w:p>
    <w:p w14:paraId="30C65040" w14:textId="60B373D3" w:rsidR="00AD6A3C" w:rsidRDefault="00AD6A3C" w:rsidP="00AD6A3C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pl. </w:t>
      </w:r>
      <w:proofErr w:type="gramStart"/>
      <w:r>
        <w:rPr>
          <w:rFonts w:ascii="Times New Roman" w:hAnsi="Times New Roman" w:cs="Times New Roman"/>
          <w:sz w:val="24"/>
          <w:szCs w:val="24"/>
        </w:rPr>
        <w:t>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hatékony-e a víztisztítás</w:t>
      </w:r>
    </w:p>
    <w:p w14:paraId="49879A95" w14:textId="604EB263" w:rsidR="00AD6A3C" w:rsidRDefault="00AD6A3C" w:rsidP="00AD6A3C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élelmiszerhigiénia: Biztonságos-e az adott termék?</w:t>
      </w:r>
    </w:p>
    <w:p w14:paraId="1551068C" w14:textId="77777777" w:rsidR="00AD6A3C" w:rsidRDefault="00AD6A3C" w:rsidP="00AD6A3C">
      <w:pPr>
        <w:pStyle w:val="Listaszerbekezds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D556AFF" w14:textId="51CD7C5A" w:rsidR="00AD6A3C" w:rsidRDefault="00AD6A3C" w:rsidP="00AD6A3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D6A3C">
        <w:rPr>
          <w:rFonts w:ascii="Times New Roman" w:hAnsi="Times New Roman" w:cs="Times New Roman"/>
          <w:sz w:val="24"/>
          <w:szCs w:val="24"/>
        </w:rPr>
        <w:t>Bár a kvantitatív mikrobiális kockázatértékelés (QMRA) széles körben alkalmazott módszer a patogén mikroorganizmusok humán egészségkockázatának becslésére, az antibiotikum-rezisztencia génekre történő alkalmazása jelenleg még elsősorban kutatási fázisban van, és nem része a hatósági környezeti kockázatértékelési gyakorlatnak.</w:t>
      </w:r>
    </w:p>
    <w:p w14:paraId="5AC7C5D9" w14:textId="1B2CE644" w:rsidR="00B60153" w:rsidRPr="00AD6A3C" w:rsidRDefault="00B60153" w:rsidP="00AD6A3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D6A3C">
        <w:rPr>
          <w:rFonts w:ascii="Times New Roman" w:hAnsi="Times New Roman" w:cs="Times New Roman"/>
          <w:sz w:val="24"/>
          <w:szCs w:val="24"/>
        </w:rPr>
        <w:t xml:space="preserve">A QMRA folyamata négy lépésből áll, </w:t>
      </w:r>
      <w:r w:rsidR="0055520F">
        <w:rPr>
          <w:rFonts w:ascii="Times New Roman" w:hAnsi="Times New Roman" w:cs="Times New Roman"/>
          <w:sz w:val="24"/>
          <w:szCs w:val="24"/>
        </w:rPr>
        <w:t xml:space="preserve">a szakirodalomban megjelent </w:t>
      </w:r>
      <w:r w:rsidRPr="00AD6A3C">
        <w:rPr>
          <w:rFonts w:ascii="Times New Roman" w:hAnsi="Times New Roman" w:cs="Times New Roman"/>
          <w:sz w:val="24"/>
          <w:szCs w:val="24"/>
        </w:rPr>
        <w:t>sertéságazati példá</w:t>
      </w:r>
      <w:r w:rsidR="0055520F">
        <w:rPr>
          <w:rFonts w:ascii="Times New Roman" w:hAnsi="Times New Roman" w:cs="Times New Roman"/>
          <w:sz w:val="24"/>
          <w:szCs w:val="24"/>
        </w:rPr>
        <w:t>val</w:t>
      </w:r>
      <w:r w:rsidRPr="00AD6A3C">
        <w:rPr>
          <w:rFonts w:ascii="Times New Roman" w:hAnsi="Times New Roman" w:cs="Times New Roman"/>
          <w:sz w:val="24"/>
          <w:szCs w:val="24"/>
        </w:rPr>
        <w:t xml:space="preserve"> illusztrálva: </w:t>
      </w:r>
    </w:p>
    <w:p w14:paraId="3CFDF331" w14:textId="77777777" w:rsidR="00B60153" w:rsidRPr="00B60153" w:rsidRDefault="00B60153" w:rsidP="00B60153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lastRenderedPageBreak/>
        <w:t>Veszélyazonosítás (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Hazard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Identification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75678513" w14:textId="15FB513C" w:rsidR="00B60153" w:rsidRPr="00B60153" w:rsidRDefault="00B60153" w:rsidP="00B60153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Annak meghatározása, mely rezisztencia gének vagy baktériumok jelentenek kockázatot.</w:t>
      </w:r>
    </w:p>
    <w:p w14:paraId="38DCB25A" w14:textId="77CA030C" w:rsidR="0055520F" w:rsidRDefault="00B60153" w:rsidP="00B60153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Mobilis genetikai elemekhez kötött ARG-k</w:t>
      </w:r>
      <w:r w:rsidR="0055520F">
        <w:rPr>
          <w:rFonts w:ascii="Times New Roman" w:hAnsi="Times New Roman" w:cs="Times New Roman"/>
          <w:sz w:val="24"/>
          <w:szCs w:val="24"/>
        </w:rPr>
        <w:t>.</w:t>
      </w:r>
    </w:p>
    <w:p w14:paraId="2028037E" w14:textId="5A242CEF" w:rsidR="00B60153" w:rsidRPr="00B60153" w:rsidRDefault="00B60153" w:rsidP="00B60153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Kritikus fontosságú antibiotikumok elleni rezisztencia (pl. </w:t>
      </w:r>
      <w:proofErr w:type="spellStart"/>
      <w:r w:rsidRPr="00B60153">
        <w:rPr>
          <w:rFonts w:ascii="Times New Roman" w:hAnsi="Times New Roman" w:cs="Times New Roman"/>
          <w:i/>
          <w:iCs/>
          <w:sz w:val="24"/>
          <w:szCs w:val="24"/>
        </w:rPr>
        <w:t>blaCTX</w:t>
      </w:r>
      <w:proofErr w:type="spellEnd"/>
      <w:r w:rsidRPr="00B60153">
        <w:rPr>
          <w:rFonts w:ascii="Times New Roman" w:hAnsi="Times New Roman" w:cs="Times New Roman"/>
          <w:i/>
          <w:iCs/>
          <w:sz w:val="24"/>
          <w:szCs w:val="24"/>
        </w:rPr>
        <w:t>-M</w:t>
      </w:r>
      <w:r w:rsidRPr="00B60153">
        <w:rPr>
          <w:rFonts w:ascii="Times New Roman" w:hAnsi="Times New Roman" w:cs="Times New Roman"/>
          <w:sz w:val="24"/>
          <w:szCs w:val="24"/>
        </w:rPr>
        <w:t>,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mcr-1</w:t>
      </w:r>
      <w:r w:rsidRPr="00B60153">
        <w:rPr>
          <w:rFonts w:ascii="Times New Roman" w:hAnsi="Times New Roman" w:cs="Times New Roman"/>
          <w:sz w:val="24"/>
          <w:szCs w:val="24"/>
        </w:rPr>
        <w:t>). </w:t>
      </w:r>
    </w:p>
    <w:p w14:paraId="3A1AB877" w14:textId="77777777" w:rsidR="00B60153" w:rsidRPr="00B60153" w:rsidRDefault="00B60153" w:rsidP="00B60153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153">
        <w:rPr>
          <w:rFonts w:ascii="Times New Roman" w:hAnsi="Times New Roman" w:cs="Times New Roman"/>
          <w:sz w:val="24"/>
          <w:szCs w:val="24"/>
        </w:rPr>
        <w:t>Zoonotikus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patogének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rezisztens változatai (pl.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fluorokinolon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-rezisztens </w:t>
      </w:r>
      <w:proofErr w:type="spellStart"/>
      <w:r w:rsidRPr="00B60153">
        <w:rPr>
          <w:rFonts w:ascii="Times New Roman" w:hAnsi="Times New Roman" w:cs="Times New Roman"/>
          <w:i/>
          <w:iCs/>
          <w:sz w:val="24"/>
          <w:szCs w:val="24"/>
        </w:rPr>
        <w:t>Campylobacter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, multirezisztens </w:t>
      </w:r>
      <w:r w:rsidRPr="00B60153">
        <w:rPr>
          <w:rFonts w:ascii="Times New Roman" w:hAnsi="Times New Roman" w:cs="Times New Roman"/>
          <w:i/>
          <w:iCs/>
          <w:sz w:val="24"/>
          <w:szCs w:val="24"/>
        </w:rPr>
        <w:t>Salmonella</w:t>
      </w:r>
      <w:r w:rsidRPr="00B60153">
        <w:rPr>
          <w:rFonts w:ascii="Times New Roman" w:hAnsi="Times New Roman" w:cs="Times New Roman"/>
          <w:sz w:val="24"/>
          <w:szCs w:val="24"/>
        </w:rPr>
        <w:t>). </w:t>
      </w:r>
    </w:p>
    <w:p w14:paraId="2E236FD8" w14:textId="77777777" w:rsidR="00B60153" w:rsidRPr="00B60153" w:rsidRDefault="00B60153" w:rsidP="00B60153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Expozíció becslés (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Exposure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Assessment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2086774E" w14:textId="77777777" w:rsidR="00B60153" w:rsidRPr="00B60153" w:rsidRDefault="00B60153" w:rsidP="00B60153">
      <w:pPr>
        <w:numPr>
          <w:ilvl w:val="0"/>
          <w:numId w:val="2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Azt vizsgálja, hogyan és milyen mennyiségben jut el a veszély a sertéstelepről az emberhez. A legfontosabb sertés-specifikus útvonalak: </w:t>
      </w:r>
    </w:p>
    <w:p w14:paraId="531B27A3" w14:textId="77777777" w:rsidR="0055520F" w:rsidRDefault="00B60153" w:rsidP="00B60153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Munkahelyi expozíció:</w:t>
      </w:r>
      <w:r w:rsidRPr="00B60153">
        <w:rPr>
          <w:rFonts w:ascii="Times New Roman" w:hAnsi="Times New Roman" w:cs="Times New Roman"/>
          <w:sz w:val="24"/>
          <w:szCs w:val="24"/>
        </w:rPr>
        <w:t> A telepi dolgozók közvetlen érintkezése az állatokkal, illetve a porszemcsékhez kötött ARG-k (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bioaeroszol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 xml:space="preserve">) belégzése az istállóban. </w:t>
      </w:r>
    </w:p>
    <w:p w14:paraId="619BA9E6" w14:textId="071F3404" w:rsidR="00B60153" w:rsidRPr="00B60153" w:rsidRDefault="00B60153" w:rsidP="00B60153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bioaeroszolok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ARG tartalma a sertéstelepeken szignifikánsan magasabb, mint a városi levegőben. </w:t>
      </w:r>
    </w:p>
    <w:p w14:paraId="744B483D" w14:textId="77777777" w:rsidR="0055520F" w:rsidRDefault="00B60153" w:rsidP="00B60153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Környezeti-tápláléklánc útvonal:</w:t>
      </w:r>
      <w:r w:rsidRPr="00B60153">
        <w:rPr>
          <w:rFonts w:ascii="Times New Roman" w:hAnsi="Times New Roman" w:cs="Times New Roman"/>
          <w:sz w:val="24"/>
          <w:szCs w:val="24"/>
        </w:rPr>
        <w:t> Hígtrágya kijuttatás</w:t>
      </w:r>
      <w:r w:rsidR="0055520F">
        <w:rPr>
          <w:rFonts w:ascii="Times New Roman" w:hAnsi="Times New Roman" w:cs="Times New Roman"/>
          <w:sz w:val="24"/>
          <w:szCs w:val="24"/>
        </w:rPr>
        <w:t xml:space="preserve">, </w:t>
      </w:r>
      <w:r w:rsidRPr="00B60153">
        <w:rPr>
          <w:rFonts w:ascii="Times New Roman" w:hAnsi="Times New Roman" w:cs="Times New Roman"/>
          <w:sz w:val="24"/>
          <w:szCs w:val="24"/>
        </w:rPr>
        <w:t>talajszennyezés</w:t>
      </w:r>
      <w:r w:rsidR="0055520F">
        <w:rPr>
          <w:rFonts w:ascii="Times New Roman" w:hAnsi="Times New Roman" w:cs="Times New Roman"/>
          <w:sz w:val="24"/>
          <w:szCs w:val="24"/>
        </w:rPr>
        <w:t xml:space="preserve">, </w:t>
      </w:r>
      <w:r w:rsidRPr="00B60153">
        <w:rPr>
          <w:rFonts w:ascii="Times New Roman" w:hAnsi="Times New Roman" w:cs="Times New Roman"/>
          <w:sz w:val="24"/>
          <w:szCs w:val="24"/>
        </w:rPr>
        <w:t>zöldségnövények felszíni vagy szöveti szennyeződése</w:t>
      </w:r>
      <w:r w:rsidR="0055520F">
        <w:rPr>
          <w:rFonts w:ascii="Times New Roman" w:hAnsi="Times New Roman" w:cs="Times New Roman"/>
          <w:sz w:val="24"/>
          <w:szCs w:val="24"/>
        </w:rPr>
        <w:t xml:space="preserve">, </w:t>
      </w:r>
      <w:r w:rsidRPr="00B60153">
        <w:rPr>
          <w:rFonts w:ascii="Times New Roman" w:hAnsi="Times New Roman" w:cs="Times New Roman"/>
          <w:sz w:val="24"/>
          <w:szCs w:val="24"/>
        </w:rPr>
        <w:t xml:space="preserve">fogyasztás. </w:t>
      </w:r>
    </w:p>
    <w:p w14:paraId="2BD1D018" w14:textId="103249F0" w:rsidR="00B60153" w:rsidRPr="00B60153" w:rsidRDefault="00B60153" w:rsidP="00B60153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Kutatások igazolták, hogy a trágyázott talajon termesztett növények (pl. saláta, retek) felszínén dúsulhatnak az ARG-k.</w:t>
      </w:r>
      <w:r w:rsidRPr="00B6015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2B290602" w14:textId="13B4808C" w:rsidR="00B60153" w:rsidRPr="00B60153" w:rsidRDefault="00B60153" w:rsidP="00B60153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Víz útvonal:</w:t>
      </w:r>
      <w:r w:rsidRPr="00B60153">
        <w:rPr>
          <w:rFonts w:ascii="Times New Roman" w:hAnsi="Times New Roman" w:cs="Times New Roman"/>
          <w:sz w:val="24"/>
          <w:szCs w:val="24"/>
        </w:rPr>
        <w:t xml:space="preserve"> Hígtrágya </w:t>
      </w:r>
      <w:r w:rsidR="0055520F">
        <w:rPr>
          <w:rFonts w:ascii="Times New Roman" w:hAnsi="Times New Roman" w:cs="Times New Roman"/>
          <w:sz w:val="24"/>
          <w:szCs w:val="24"/>
        </w:rPr>
        <w:t>be</w:t>
      </w:r>
      <w:r w:rsidRPr="00B60153">
        <w:rPr>
          <w:rFonts w:ascii="Times New Roman" w:hAnsi="Times New Roman" w:cs="Times New Roman"/>
          <w:sz w:val="24"/>
          <w:szCs w:val="24"/>
        </w:rPr>
        <w:t>mosódás vagy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csurgalékvíz</w:t>
      </w:r>
      <w:proofErr w:type="spellEnd"/>
      <w:r w:rsidR="0055520F">
        <w:rPr>
          <w:rFonts w:ascii="Times New Roman" w:hAnsi="Times New Roman" w:cs="Times New Roman"/>
          <w:sz w:val="24"/>
          <w:szCs w:val="24"/>
        </w:rPr>
        <w:t xml:space="preserve">, </w:t>
      </w:r>
      <w:r w:rsidRPr="00B60153">
        <w:rPr>
          <w:rFonts w:ascii="Times New Roman" w:hAnsi="Times New Roman" w:cs="Times New Roman"/>
          <w:sz w:val="24"/>
          <w:szCs w:val="24"/>
        </w:rPr>
        <w:t>talajvíz</w:t>
      </w:r>
      <w:r w:rsidR="0055520F">
        <w:rPr>
          <w:rFonts w:ascii="Times New Roman" w:hAnsi="Times New Roman" w:cs="Times New Roman"/>
          <w:sz w:val="24"/>
          <w:szCs w:val="24"/>
        </w:rPr>
        <w:t xml:space="preserve">, </w:t>
      </w:r>
      <w:r w:rsidRPr="00B60153">
        <w:rPr>
          <w:rFonts w:ascii="Times New Roman" w:hAnsi="Times New Roman" w:cs="Times New Roman"/>
          <w:sz w:val="24"/>
          <w:szCs w:val="24"/>
        </w:rPr>
        <w:t>fúrt kutak ivóvízként való hasznosítása. Ez különösen vidéki környezetben jelentős kockázat.</w:t>
      </w:r>
    </w:p>
    <w:p w14:paraId="5FD833AC" w14:textId="77777777" w:rsidR="00B60153" w:rsidRPr="00B60153" w:rsidRDefault="00B60153" w:rsidP="00B60153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Dózis-hatás elemzés (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Dose-Response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Assessment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04432920" w14:textId="77777777" w:rsidR="00B60153" w:rsidRPr="00B60153" w:rsidRDefault="00B60153" w:rsidP="00B60153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Ez a modell legbizonytalanabb pontja. Azt próbálja meghatározni, hogy mennyi rezisztencia gén vagy rezisztens baktérium lenyelése/belégzése szükséges ahhoz, hogy: </w:t>
      </w:r>
    </w:p>
    <w:p w14:paraId="1F8D69B9" w14:textId="77777777" w:rsidR="00B60153" w:rsidRPr="00B60153" w:rsidRDefault="00B60153" w:rsidP="00B60153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baktérium kolonizálja az emberi bélrendszert. </w:t>
      </w:r>
    </w:p>
    <w:p w14:paraId="0F1DA16C" w14:textId="77777777" w:rsidR="00B60153" w:rsidRPr="00B60153" w:rsidRDefault="00B60153" w:rsidP="00B60153">
      <w:pPr>
        <w:numPr>
          <w:ilvl w:val="0"/>
          <w:numId w:val="3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A rezisztencia gén átadódjon az emberi bélflóra tagjainak (HGT esemény). </w:t>
      </w:r>
    </w:p>
    <w:p w14:paraId="7EC65D16" w14:textId="4B460875" w:rsidR="00B60153" w:rsidRPr="00B60153" w:rsidRDefault="00B60153" w:rsidP="00B60153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Mivel "fertőző dózis" az ARG-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kre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 nehezen definiálható, gyakran valószínűségi modelleket (pl. Béta-Poisson eloszlás) alkalmaznak annak becslésére, hogy mekkora az esély a bélflóra rezisztenciagén-készletének (humán </w:t>
      </w:r>
      <w:proofErr w:type="spellStart"/>
      <w:r w:rsidRPr="00B60153">
        <w:rPr>
          <w:rFonts w:ascii="Times New Roman" w:hAnsi="Times New Roman" w:cs="Times New Roman"/>
          <w:sz w:val="24"/>
          <w:szCs w:val="24"/>
        </w:rPr>
        <w:t>reziszt</w:t>
      </w:r>
      <w:r w:rsidR="0055520F">
        <w:rPr>
          <w:rFonts w:ascii="Times New Roman" w:hAnsi="Times New Roman" w:cs="Times New Roman"/>
          <w:sz w:val="24"/>
          <w:szCs w:val="24"/>
        </w:rPr>
        <w:t>o</w:t>
      </w:r>
      <w:r w:rsidRPr="00B60153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B60153">
        <w:rPr>
          <w:rFonts w:ascii="Times New Roman" w:hAnsi="Times New Roman" w:cs="Times New Roman"/>
          <w:sz w:val="24"/>
          <w:szCs w:val="24"/>
        </w:rPr>
        <w:t>) megváltozására. </w:t>
      </w:r>
    </w:p>
    <w:p w14:paraId="1AEDFF51" w14:textId="77777777" w:rsidR="00B60153" w:rsidRPr="00B60153" w:rsidRDefault="00B60153" w:rsidP="00B60153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b/>
          <w:bCs/>
          <w:sz w:val="24"/>
          <w:szCs w:val="24"/>
        </w:rPr>
        <w:t>Kockázat jellemzés (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Risk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60153">
        <w:rPr>
          <w:rFonts w:ascii="Times New Roman" w:hAnsi="Times New Roman" w:cs="Times New Roman"/>
          <w:b/>
          <w:bCs/>
          <w:sz w:val="24"/>
          <w:szCs w:val="24"/>
        </w:rPr>
        <w:t>Characterization</w:t>
      </w:r>
      <w:proofErr w:type="spellEnd"/>
      <w:r w:rsidRPr="00B60153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60153">
        <w:rPr>
          <w:rFonts w:ascii="Times New Roman" w:hAnsi="Times New Roman" w:cs="Times New Roman"/>
          <w:sz w:val="24"/>
          <w:szCs w:val="24"/>
        </w:rPr>
        <w:t> </w:t>
      </w:r>
    </w:p>
    <w:p w14:paraId="376896AD" w14:textId="58BF3E47" w:rsidR="00B60153" w:rsidRDefault="00B60153" w:rsidP="00B60153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153">
        <w:rPr>
          <w:rFonts w:ascii="Times New Roman" w:hAnsi="Times New Roman" w:cs="Times New Roman"/>
          <w:sz w:val="24"/>
          <w:szCs w:val="24"/>
        </w:rPr>
        <w:t>Ez lehetővé teszi a kockázatok rangsorolását és a beavatkozási pontok azonosítását. </w:t>
      </w:r>
    </w:p>
    <w:p w14:paraId="13484B93" w14:textId="77777777" w:rsidR="0055520F" w:rsidRPr="00B60153" w:rsidRDefault="0055520F" w:rsidP="0055520F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ADEDEEE" w14:textId="77777777" w:rsidR="00671B72" w:rsidRPr="00B60153" w:rsidRDefault="00671B72" w:rsidP="00B601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B60153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D6772" w14:textId="77777777" w:rsidR="0055520F" w:rsidRDefault="0055520F" w:rsidP="0055520F">
      <w:pPr>
        <w:spacing w:after="0" w:line="240" w:lineRule="auto"/>
      </w:pPr>
      <w:r>
        <w:separator/>
      </w:r>
    </w:p>
  </w:endnote>
  <w:endnote w:type="continuationSeparator" w:id="0">
    <w:p w14:paraId="6C4B9BBF" w14:textId="77777777" w:rsidR="0055520F" w:rsidRDefault="0055520F" w:rsidP="00555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778682"/>
      <w:docPartObj>
        <w:docPartGallery w:val="Page Numbers (Bottom of Page)"/>
        <w:docPartUnique/>
      </w:docPartObj>
    </w:sdtPr>
    <w:sdtContent>
      <w:p w14:paraId="17DC5B47" w14:textId="2EAA044C" w:rsidR="0055520F" w:rsidRDefault="0055520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C65229" w14:textId="77777777" w:rsidR="0055520F" w:rsidRDefault="0055520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BFFC" w14:textId="77777777" w:rsidR="0055520F" w:rsidRDefault="0055520F" w:rsidP="0055520F">
      <w:pPr>
        <w:spacing w:after="0" w:line="240" w:lineRule="auto"/>
      </w:pPr>
      <w:r>
        <w:separator/>
      </w:r>
    </w:p>
  </w:footnote>
  <w:footnote w:type="continuationSeparator" w:id="0">
    <w:p w14:paraId="45F83E03" w14:textId="77777777" w:rsidR="0055520F" w:rsidRDefault="0055520F" w:rsidP="00555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75F"/>
    <w:multiLevelType w:val="multilevel"/>
    <w:tmpl w:val="B20848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1F4A"/>
    <w:multiLevelType w:val="multilevel"/>
    <w:tmpl w:val="1B666B10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5EB4"/>
    <w:multiLevelType w:val="hybridMultilevel"/>
    <w:tmpl w:val="CF1872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C217F"/>
    <w:multiLevelType w:val="multilevel"/>
    <w:tmpl w:val="9AF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A25413"/>
    <w:multiLevelType w:val="hybridMultilevel"/>
    <w:tmpl w:val="435A4BD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B139C"/>
    <w:multiLevelType w:val="multilevel"/>
    <w:tmpl w:val="E8BAE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009F9"/>
    <w:multiLevelType w:val="multilevel"/>
    <w:tmpl w:val="9B1625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1675EC1"/>
    <w:multiLevelType w:val="multilevel"/>
    <w:tmpl w:val="D728AD36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E585F"/>
    <w:multiLevelType w:val="multilevel"/>
    <w:tmpl w:val="0686C75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2CE0B80"/>
    <w:multiLevelType w:val="hybridMultilevel"/>
    <w:tmpl w:val="67B4C0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038B7"/>
    <w:multiLevelType w:val="multilevel"/>
    <w:tmpl w:val="02E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CE0684"/>
    <w:multiLevelType w:val="multilevel"/>
    <w:tmpl w:val="713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811729"/>
    <w:multiLevelType w:val="multilevel"/>
    <w:tmpl w:val="44F6161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A526DA2"/>
    <w:multiLevelType w:val="multilevel"/>
    <w:tmpl w:val="6E7A9822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36"/>
        </w:tabs>
        <w:ind w:left="7536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C680BA7"/>
    <w:multiLevelType w:val="multilevel"/>
    <w:tmpl w:val="82600C4C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C76D2"/>
    <w:multiLevelType w:val="multilevel"/>
    <w:tmpl w:val="F194409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85"/>
    <w:multiLevelType w:val="multilevel"/>
    <w:tmpl w:val="051C822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A8E5211"/>
    <w:multiLevelType w:val="multilevel"/>
    <w:tmpl w:val="5BE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BF1B85"/>
    <w:multiLevelType w:val="multilevel"/>
    <w:tmpl w:val="F1980002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564C3"/>
    <w:multiLevelType w:val="multilevel"/>
    <w:tmpl w:val="B600D428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36"/>
        </w:tabs>
        <w:ind w:left="7536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B620D77"/>
    <w:multiLevelType w:val="multilevel"/>
    <w:tmpl w:val="97C8607E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A3091"/>
    <w:multiLevelType w:val="multilevel"/>
    <w:tmpl w:val="F138A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E3E4A7C"/>
    <w:multiLevelType w:val="hybridMultilevel"/>
    <w:tmpl w:val="FBF6C6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B04D8"/>
    <w:multiLevelType w:val="multilevel"/>
    <w:tmpl w:val="0BB0B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9E2FC1"/>
    <w:multiLevelType w:val="multilevel"/>
    <w:tmpl w:val="833C03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C181D7E"/>
    <w:multiLevelType w:val="multilevel"/>
    <w:tmpl w:val="49CC72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E4C1FA4"/>
    <w:multiLevelType w:val="hybridMultilevel"/>
    <w:tmpl w:val="FD125E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316F8A"/>
    <w:multiLevelType w:val="multilevel"/>
    <w:tmpl w:val="8A36B2F4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A7B96"/>
    <w:multiLevelType w:val="multilevel"/>
    <w:tmpl w:val="E904029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6AA2556"/>
    <w:multiLevelType w:val="multilevel"/>
    <w:tmpl w:val="228A78A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473512A0"/>
    <w:multiLevelType w:val="multilevel"/>
    <w:tmpl w:val="564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8D1994"/>
    <w:multiLevelType w:val="hybridMultilevel"/>
    <w:tmpl w:val="66AEA5AA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E3914B0"/>
    <w:multiLevelType w:val="multilevel"/>
    <w:tmpl w:val="8C8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6D3CF6"/>
    <w:multiLevelType w:val="multilevel"/>
    <w:tmpl w:val="BCD8531E"/>
    <w:lvl w:ilvl="0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55136"/>
    <w:multiLevelType w:val="multilevel"/>
    <w:tmpl w:val="84D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E84E7C"/>
    <w:multiLevelType w:val="multilevel"/>
    <w:tmpl w:val="6C36BA8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3371A35"/>
    <w:multiLevelType w:val="multilevel"/>
    <w:tmpl w:val="461AAB4C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552CD"/>
    <w:multiLevelType w:val="multilevel"/>
    <w:tmpl w:val="9EE65C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5529E3"/>
    <w:multiLevelType w:val="multilevel"/>
    <w:tmpl w:val="345405D4"/>
    <w:lvl w:ilvl="0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643FC"/>
    <w:multiLevelType w:val="multilevel"/>
    <w:tmpl w:val="DD3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133E27"/>
    <w:multiLevelType w:val="multilevel"/>
    <w:tmpl w:val="2A0086A0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12C3A"/>
    <w:multiLevelType w:val="multilevel"/>
    <w:tmpl w:val="DACE8FAA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05CE8"/>
    <w:multiLevelType w:val="multilevel"/>
    <w:tmpl w:val="001C8210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36"/>
        </w:tabs>
        <w:ind w:left="7536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69192940"/>
    <w:multiLevelType w:val="multilevel"/>
    <w:tmpl w:val="5800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0F4C18"/>
    <w:multiLevelType w:val="hybridMultilevel"/>
    <w:tmpl w:val="AD308F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121256"/>
    <w:multiLevelType w:val="multilevel"/>
    <w:tmpl w:val="3FE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1D43254"/>
    <w:multiLevelType w:val="multilevel"/>
    <w:tmpl w:val="00286278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73A51"/>
    <w:multiLevelType w:val="multilevel"/>
    <w:tmpl w:val="CC8806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95220583">
    <w:abstractNumId w:val="11"/>
  </w:num>
  <w:num w:numId="2" w16cid:durableId="581061951">
    <w:abstractNumId w:val="29"/>
  </w:num>
  <w:num w:numId="3" w16cid:durableId="1398165354">
    <w:abstractNumId w:val="19"/>
  </w:num>
  <w:num w:numId="4" w16cid:durableId="386271022">
    <w:abstractNumId w:val="42"/>
  </w:num>
  <w:num w:numId="5" w16cid:durableId="2067945207">
    <w:abstractNumId w:val="13"/>
  </w:num>
  <w:num w:numId="6" w16cid:durableId="1060177844">
    <w:abstractNumId w:val="3"/>
  </w:num>
  <w:num w:numId="7" w16cid:durableId="2084520297">
    <w:abstractNumId w:val="30"/>
  </w:num>
  <w:num w:numId="8" w16cid:durableId="655497478">
    <w:abstractNumId w:val="8"/>
  </w:num>
  <w:num w:numId="9" w16cid:durableId="1377654963">
    <w:abstractNumId w:val="21"/>
  </w:num>
  <w:num w:numId="10" w16cid:durableId="343172492">
    <w:abstractNumId w:val="0"/>
  </w:num>
  <w:num w:numId="11" w16cid:durableId="1531257163">
    <w:abstractNumId w:val="1"/>
  </w:num>
  <w:num w:numId="12" w16cid:durableId="2000502503">
    <w:abstractNumId w:val="46"/>
  </w:num>
  <w:num w:numId="13" w16cid:durableId="72943656">
    <w:abstractNumId w:val="41"/>
  </w:num>
  <w:num w:numId="14" w16cid:durableId="139154352">
    <w:abstractNumId w:val="14"/>
  </w:num>
  <w:num w:numId="15" w16cid:durableId="204106443">
    <w:abstractNumId w:val="40"/>
  </w:num>
  <w:num w:numId="16" w16cid:durableId="729033746">
    <w:abstractNumId w:val="24"/>
  </w:num>
  <w:num w:numId="17" w16cid:durableId="1689675563">
    <w:abstractNumId w:val="45"/>
  </w:num>
  <w:num w:numId="18" w16cid:durableId="688022312">
    <w:abstractNumId w:val="12"/>
  </w:num>
  <w:num w:numId="19" w16cid:durableId="1648054139">
    <w:abstractNumId w:val="28"/>
  </w:num>
  <w:num w:numId="20" w16cid:durableId="1113288052">
    <w:abstractNumId w:val="39"/>
  </w:num>
  <w:num w:numId="21" w16cid:durableId="267008559">
    <w:abstractNumId w:val="32"/>
  </w:num>
  <w:num w:numId="22" w16cid:durableId="856505568">
    <w:abstractNumId w:val="43"/>
  </w:num>
  <w:num w:numId="23" w16cid:durableId="1463767486">
    <w:abstractNumId w:val="16"/>
  </w:num>
  <w:num w:numId="24" w16cid:durableId="1007445676">
    <w:abstractNumId w:val="15"/>
  </w:num>
  <w:num w:numId="25" w16cid:durableId="554896255">
    <w:abstractNumId w:val="20"/>
  </w:num>
  <w:num w:numId="26" w16cid:durableId="1877811222">
    <w:abstractNumId w:val="27"/>
  </w:num>
  <w:num w:numId="27" w16cid:durableId="1430659793">
    <w:abstractNumId w:val="23"/>
  </w:num>
  <w:num w:numId="28" w16cid:durableId="1816874753">
    <w:abstractNumId w:val="35"/>
  </w:num>
  <w:num w:numId="29" w16cid:durableId="1098911841">
    <w:abstractNumId w:val="18"/>
  </w:num>
  <w:num w:numId="30" w16cid:durableId="923026458">
    <w:abstractNumId w:val="7"/>
  </w:num>
  <w:num w:numId="31" w16cid:durableId="2138646343">
    <w:abstractNumId w:val="36"/>
  </w:num>
  <w:num w:numId="32" w16cid:durableId="512109833">
    <w:abstractNumId w:val="5"/>
  </w:num>
  <w:num w:numId="33" w16cid:durableId="1078599997">
    <w:abstractNumId w:val="47"/>
  </w:num>
  <w:num w:numId="34" w16cid:durableId="476872484">
    <w:abstractNumId w:val="33"/>
  </w:num>
  <w:num w:numId="35" w16cid:durableId="1940604919">
    <w:abstractNumId w:val="38"/>
  </w:num>
  <w:num w:numId="36" w16cid:durableId="1833713056">
    <w:abstractNumId w:val="6"/>
  </w:num>
  <w:num w:numId="37" w16cid:durableId="880558889">
    <w:abstractNumId w:val="37"/>
  </w:num>
  <w:num w:numId="38" w16cid:durableId="1467623891">
    <w:abstractNumId w:val="25"/>
  </w:num>
  <w:num w:numId="39" w16cid:durableId="1963995006">
    <w:abstractNumId w:val="34"/>
  </w:num>
  <w:num w:numId="40" w16cid:durableId="1388844740">
    <w:abstractNumId w:val="17"/>
  </w:num>
  <w:num w:numId="41" w16cid:durableId="533886790">
    <w:abstractNumId w:val="10"/>
  </w:num>
  <w:num w:numId="42" w16cid:durableId="1845628027">
    <w:abstractNumId w:val="2"/>
  </w:num>
  <w:num w:numId="43" w16cid:durableId="818884776">
    <w:abstractNumId w:val="31"/>
  </w:num>
  <w:num w:numId="44" w16cid:durableId="214246105">
    <w:abstractNumId w:val="4"/>
  </w:num>
  <w:num w:numId="45" w16cid:durableId="1519852187">
    <w:abstractNumId w:val="44"/>
  </w:num>
  <w:num w:numId="46" w16cid:durableId="319240262">
    <w:abstractNumId w:val="9"/>
  </w:num>
  <w:num w:numId="47" w16cid:durableId="548416490">
    <w:abstractNumId w:val="22"/>
  </w:num>
  <w:num w:numId="48" w16cid:durableId="4291586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53"/>
    <w:rsid w:val="000501EA"/>
    <w:rsid w:val="0014291A"/>
    <w:rsid w:val="00243E27"/>
    <w:rsid w:val="00402A14"/>
    <w:rsid w:val="0045402E"/>
    <w:rsid w:val="004D1962"/>
    <w:rsid w:val="005240CB"/>
    <w:rsid w:val="0055520F"/>
    <w:rsid w:val="006014B6"/>
    <w:rsid w:val="00671B72"/>
    <w:rsid w:val="007C0EF4"/>
    <w:rsid w:val="00AD6A3C"/>
    <w:rsid w:val="00AF0DB1"/>
    <w:rsid w:val="00B53E99"/>
    <w:rsid w:val="00B60153"/>
    <w:rsid w:val="00BA0745"/>
    <w:rsid w:val="00CC6B6B"/>
    <w:rsid w:val="00D05B73"/>
    <w:rsid w:val="00EA12D1"/>
    <w:rsid w:val="00EA74E6"/>
    <w:rsid w:val="00EC5E60"/>
    <w:rsid w:val="00F07599"/>
    <w:rsid w:val="00F3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67EE4"/>
  <w15:chartTrackingRefBased/>
  <w15:docId w15:val="{882D60C1-DF28-4E80-AD0F-CD76BFDB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015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015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015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015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015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015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015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015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015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015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0153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243E27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243E27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243E27"/>
  </w:style>
  <w:style w:type="paragraph" w:styleId="NormlWeb">
    <w:name w:val="Normal (Web)"/>
    <w:basedOn w:val="Norml"/>
    <w:uiPriority w:val="99"/>
    <w:unhideWhenUsed/>
    <w:rsid w:val="00454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5402E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5552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5520F"/>
  </w:style>
  <w:style w:type="paragraph" w:styleId="llb">
    <w:name w:val="footer"/>
    <w:basedOn w:val="Norml"/>
    <w:link w:val="llbChar"/>
    <w:uiPriority w:val="99"/>
    <w:unhideWhenUsed/>
    <w:rsid w:val="005552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55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1163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2026-01-16T12:37:00Z</dcterms:created>
  <dcterms:modified xsi:type="dcterms:W3CDTF">2026-01-16T15:13:00Z</dcterms:modified>
</cp:coreProperties>
</file>