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F9F3" w14:textId="7BFD616F" w:rsidR="00CB1575" w:rsidRPr="00CB1575" w:rsidRDefault="00CB1575" w:rsidP="00CB157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1575">
        <w:rPr>
          <w:rFonts w:ascii="Times New Roman" w:hAnsi="Times New Roman" w:cs="Times New Roman"/>
          <w:b/>
          <w:bCs/>
          <w:sz w:val="24"/>
          <w:szCs w:val="24"/>
        </w:rPr>
        <w:t xml:space="preserve">30. </w:t>
      </w:r>
      <w:r w:rsidRPr="00CB1575">
        <w:rPr>
          <w:rFonts w:ascii="Times New Roman" w:hAnsi="Times New Roman" w:cs="Times New Roman"/>
          <w:b/>
          <w:bCs/>
          <w:sz w:val="24"/>
          <w:szCs w:val="24"/>
        </w:rPr>
        <w:t>étel: Új irányok és kihívások az antimikrobiális rezisztencia (AMR) kutatásban</w:t>
      </w:r>
    </w:p>
    <w:p w14:paraId="23821B2C" w14:textId="77777777" w:rsidR="00CB1575" w:rsidRPr="00CB1575" w:rsidRDefault="00CB1575" w:rsidP="00CB157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27912" w14:textId="77777777" w:rsidR="00CB1575" w:rsidRPr="00CB1575" w:rsidRDefault="00CB1575" w:rsidP="00CB157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1. Bevezetés: A paradigma-váltás szükségessége</w:t>
      </w:r>
    </w:p>
    <w:p w14:paraId="5F2F168A" w14:textId="3A39AD7D" w:rsidR="00CB1575" w:rsidRPr="003D447C" w:rsidRDefault="00CB1575" w:rsidP="003D447C">
      <w:pPr>
        <w:pStyle w:val="Listaszerbekezds"/>
        <w:numPr>
          <w:ilvl w:val="0"/>
          <w:numId w:val="17"/>
        </w:num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antimikrobiális rezisztencia (AMR) kutatásában alapvető szemléletváltás zajlik. Míg korábban a rezisztenciát elsősorban klinikai, kórházi problémaként kezelték, mára világossá vált, hogy ez egy komplex, ökoszisztéma-szintű kihívás. A modern kutatás alapja a </w:t>
      </w:r>
      <w:proofErr w:type="spellStart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One</w:t>
      </w:r>
      <w:proofErr w:type="spellEnd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Health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megközelítés, amely felismeri, hogy az emberi egészség, az állatállomány és a környezet állapota elválaszthatatlan egymástól.</w:t>
      </w:r>
    </w:p>
    <w:p w14:paraId="505E4AFD" w14:textId="77777777" w:rsidR="00CB1575" w:rsidRPr="00CB1575" w:rsidRDefault="00CB1575" w:rsidP="00CB157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2. Új környezeti terjedési dinamikák és "</w:t>
      </w:r>
      <w:proofErr w:type="spellStart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Hotspotok</w:t>
      </w:r>
      <w:proofErr w:type="spellEnd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"</w:t>
      </w:r>
    </w:p>
    <w:p w14:paraId="4C6FA3A7" w14:textId="77777777" w:rsidR="00CB1575" w:rsidRPr="00CB1575" w:rsidRDefault="00CB1575" w:rsidP="00CB157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kutatás fókusza a hagyományos közegekről (víz, talaj) kiterjedt új, eddig kevésbé vizsgált területekre, amelyek kritikus szerepet játszhatnak a rezisztencia terjedésében.</w:t>
      </w:r>
    </w:p>
    <w:p w14:paraId="71E60C0A" w14:textId="19C08BD6" w:rsidR="00CB1575" w:rsidRPr="00CB1575" w:rsidRDefault="00CB1575" w:rsidP="003D447C">
      <w:pPr>
        <w:pStyle w:val="Listaszerbekezds"/>
        <w:numPr>
          <w:ilvl w:val="0"/>
          <w:numId w:val="17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Légköri terjedés (Aeroszolok és szálló por):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Az elmúlt évek kutatásai rávilágítottak, hogy a levegő, különösen a finom szálló por, aktív 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vektora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lehet 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z ARG-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knek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. A 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bioaeroszolok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– például a szennyvíztisztítók levegőztető medencéiből felszálló permet – nagy távolságokra szállíthatják a rezisztenciagéneket (ARG-k). A belélegezhető részecskék közvetlen expozíciós útvonalat jelentenek az emberi légutak felé, ahol a baktériumok megtelepedhetnek.</w:t>
      </w:r>
    </w:p>
    <w:p w14:paraId="73C0D501" w14:textId="7BF207F8" w:rsidR="00CB1575" w:rsidRPr="003D447C" w:rsidRDefault="00CB1575" w:rsidP="003D447C">
      <w:pPr>
        <w:pStyle w:val="Listaszerbekezds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 "</w:t>
      </w:r>
      <w:proofErr w:type="spellStart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Plasztiszféra</w:t>
      </w:r>
      <w:proofErr w:type="spellEnd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" (</w:t>
      </w:r>
      <w:proofErr w:type="spellStart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Mikroműanyagok</w:t>
      </w:r>
      <w:proofErr w:type="spellEnd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):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vízi ökoszisztémákban megjelenő 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mikroműanyagok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felületén kialakuló mikrobiális közösséget nevezzük 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plasztiszférának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. Ezek a felületek ideális életteret biztosítanak a 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biofilmek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képződéséhez, ahol a baktériumok sűrűn helyezkednek el, ezáltal felgyorsul a </w:t>
      </w: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horizontális géntranszfer (HGT)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vagyis a rezisztenciagének átadása. A műanyagok ráadásul képesek adszorbeálni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antibiotikumokat és nehézfémeket, így egy olyan mikrokörnyezetet hoznak létre, ahol a szennyezőanyagok együttes jelenléte (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ko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-szelekció) tovább fokozza a rezisztens törzsek kiválogatódását.</w:t>
      </w:r>
    </w:p>
    <w:p w14:paraId="4EC0B2BF" w14:textId="053452C3" w:rsidR="00CB1575" w:rsidRDefault="00CB1575" w:rsidP="00CB1575">
      <w:pPr>
        <w:pStyle w:val="Listaszerbekezds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proofErr w:type="gramStart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Szub</w:t>
      </w:r>
      <w:proofErr w:type="spellEnd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-letális</w:t>
      </w:r>
      <w:proofErr w:type="gramEnd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koncentrációk kérdése: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Bár régóta ismert, hogy az alacsony antibiotikum-dózisok is veszélyesek, az új kutatási irányok a </w:t>
      </w: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szabványosítás hiányára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fókuszálnak. Jelenleg nincsenek egységes ökológiai küszöbértékek arra vonatkozóan, hogy a környezetben mérhető, terápiás dózis alatti (</w:t>
      </w:r>
      <w:proofErr w:type="spellStart"/>
      <w:proofErr w:type="gram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szub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-letális</w:t>
      </w:r>
      <w:proofErr w:type="gram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) koncentrációk – különösen más szennyezőkkel (pl. 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mikroműanyagokkal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 kombinálva – pontosan mekkora kockázatot jelentenek hosszú távon. A cél tehát olyan modellek alkotása, amelyek nemcsak az akut toxicitást, hanem a krónikus, alacsony dózisú kitettség rezisztencia-növelő hatását is képesek számszerűsíteni.</w:t>
      </w:r>
    </w:p>
    <w:p w14:paraId="19C2F307" w14:textId="77777777" w:rsidR="00CB1575" w:rsidRPr="00CB1575" w:rsidRDefault="00CB1575" w:rsidP="00CB1575">
      <w:pPr>
        <w:pStyle w:val="Listaszerbekezds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519631FC" w14:textId="77777777" w:rsidR="00CB1575" w:rsidRPr="00CB1575" w:rsidRDefault="00CB1575" w:rsidP="00CB157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3. </w:t>
      </w:r>
      <w:proofErr w:type="spellStart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Metagenomika</w:t>
      </w:r>
      <w:proofErr w:type="spellEnd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és fejlett molekuláris diagnosztika</w:t>
      </w:r>
    </w:p>
    <w:p w14:paraId="0A088045" w14:textId="77777777" w:rsidR="00CB1575" w:rsidRPr="00CB1575" w:rsidRDefault="00CB1575" w:rsidP="00CB157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jövő a tenyésztés-független, molekuláris biológiai módszereké, amelyek sokkal átfogóbb képet adnak a rezisztencia helyzetéről.</w:t>
      </w:r>
    </w:p>
    <w:p w14:paraId="032D83E1" w14:textId="0F289CDF" w:rsidR="00CB1575" w:rsidRPr="00CB1575" w:rsidRDefault="00CB1575" w:rsidP="00CB1575">
      <w:pPr>
        <w:pStyle w:val="Listaszerbekezds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Környezeti </w:t>
      </w:r>
      <w:proofErr w:type="spellStart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Metagenomika</w:t>
      </w:r>
      <w:proofErr w:type="spellEnd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: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</w:t>
      </w: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teljes </w:t>
      </w:r>
      <w:proofErr w:type="spellStart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metagenom</w:t>
      </w:r>
      <w:proofErr w:type="spellEnd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szekvenálás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lehetővé teszi a ritka, nem tenyészthető baktériumok és új rezisztenciagének azonosítását komplex mintákból (pl. szennyvíziszap, talaj). Ezt egészíti ki a </w:t>
      </w: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funkcionális </w:t>
      </w:r>
      <w:proofErr w:type="spellStart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metagenomika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amely nemcsak a gének jelenlétét mutatja ki, hanem azt is vizsgálja, hogy ezek a gének aktívak-e, és ténylegesen biztosítanak-e rezisztenciát valós környezeti feltételek mellett.</w:t>
      </w:r>
    </w:p>
    <w:p w14:paraId="0428F3AF" w14:textId="70FFDCC7" w:rsidR="00CB1575" w:rsidRPr="00CB1575" w:rsidRDefault="00CB1575" w:rsidP="00CB1575">
      <w:pPr>
        <w:pStyle w:val="Listaszerbekezds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eDNA</w:t>
      </w:r>
      <w:proofErr w:type="spellEnd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(Extracelluláris környezeti DNS) szerepe: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rezisztenciagének nemcsak élő baktériumokban, hanem sejten kívül, úgynevezett</w:t>
      </w:r>
      <w:r w:rsidR="003D447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extracelluláris DNS (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eDNA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) formájában is jelen vannak a környezetben. Ez a DNS stabilizálódhat agyagásványokhoz kötődve, sejtmaradványokban vagy 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fágok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kapszidjában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így hosszú ideig megmarad anélkül, hogy lebomlana. </w:t>
      </w:r>
      <w:r w:rsidR="003D447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Ezeket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más baktériumok képesek felvenni és beépíteni a saját genomjukba (transzformáció), így a rezisztencia akkor is terjedhet, ha az eredeti hordozó baktérium már elpusztult.</w:t>
      </w:r>
    </w:p>
    <w:p w14:paraId="321922BF" w14:textId="1C7FF8C2" w:rsidR="00CB1575" w:rsidRDefault="00CB1575" w:rsidP="003D447C">
      <w:pPr>
        <w:pStyle w:val="Listaszerbekezds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4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lastRenderedPageBreak/>
        <w:t>Szennyvíz-alapú epidemiológia</w:t>
      </w:r>
      <w:r w:rsidR="003D4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: </w:t>
      </w:r>
      <w:r w:rsidRPr="003D447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egy modern felügyeleti eszköz, amely a szennyvizet tekinti a közösség "biológiai tükrének". Ahelyett, hogy egyéneket tesztelnének, a szennyvíztelepre beérkező vizet elemzik, amely egyesíti a teljes lakosság biológiai mintáit. A </w:t>
      </w:r>
      <w:proofErr w:type="spellStart"/>
      <w:r w:rsidRPr="003D447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genomikai</w:t>
      </w:r>
      <w:proofErr w:type="spellEnd"/>
      <w:r w:rsidRPr="003D447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kémiai elemzések integrálásával ez a módszer </w:t>
      </w:r>
      <w:r w:rsidRPr="003D4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korai figyelmeztető rendszerként</w:t>
      </w:r>
      <w:r w:rsidRPr="003D447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működik: képes előre jelezni járványkitöréseket vagy új rezisztens törzsek megjelenését a közösségben, még mielőtt azok a klinikákon tömegesen megjelennének. Ez különösen hasznos a trendek nyomon követésére és a beavatkozások hatékonyságának mérésére.</w:t>
      </w:r>
    </w:p>
    <w:p w14:paraId="1054F9BE" w14:textId="77777777" w:rsidR="003D447C" w:rsidRPr="003D447C" w:rsidRDefault="003D447C" w:rsidP="003D447C">
      <w:pPr>
        <w:pStyle w:val="Listaszerbekezds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0956BD44" w14:textId="7E839E95" w:rsidR="00CB1575" w:rsidRPr="003D447C" w:rsidRDefault="00CB1575" w:rsidP="003D447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3D4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4. Újgenerációs enyhítési stratégiák</w:t>
      </w:r>
    </w:p>
    <w:p w14:paraId="5FA793A9" w14:textId="39040E0D" w:rsidR="00CB1575" w:rsidRPr="00CB1575" w:rsidRDefault="00CB1575" w:rsidP="003D447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jövőbeli beavatkozások </w:t>
      </w:r>
      <w:r w:rsidR="003D447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széles spektrumú antibiotikumok helyett a fenntartható megoldásokra épülnek.</w:t>
      </w:r>
    </w:p>
    <w:p w14:paraId="3AD89432" w14:textId="77777777" w:rsidR="00CB1575" w:rsidRPr="00CB1575" w:rsidRDefault="00CB1575" w:rsidP="0092588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Biológiai innovációk:</w:t>
      </w:r>
    </w:p>
    <w:p w14:paraId="04F5D0CD" w14:textId="77777777" w:rsidR="0092588C" w:rsidRDefault="0092588C" w:rsidP="0092588C">
      <w:pPr>
        <w:pStyle w:val="NormlWeb"/>
        <w:spacing w:after="0" w:afterAutospacing="0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Fágterápia</w:t>
      </w:r>
      <w:proofErr w:type="spellEnd"/>
      <w:r>
        <w:rPr>
          <w:b/>
          <w:bCs/>
        </w:rPr>
        <w:t xml:space="preserve"> és </w:t>
      </w:r>
      <w:proofErr w:type="spellStart"/>
      <w:r>
        <w:rPr>
          <w:b/>
          <w:bCs/>
        </w:rPr>
        <w:t>Fág</w:t>
      </w:r>
      <w:proofErr w:type="spellEnd"/>
      <w:r>
        <w:rPr>
          <w:b/>
          <w:bCs/>
        </w:rPr>
        <w:t>-Antibiotikum Szinergia (PAS)</w:t>
      </w:r>
      <w:r>
        <w:t xml:space="preserve"> </w:t>
      </w:r>
      <w:r>
        <w:rPr>
          <w:rStyle w:val="citation-100"/>
          <w:rFonts w:eastAsiaTheme="majorEastAsia"/>
        </w:rPr>
        <w:t xml:space="preserve">A </w:t>
      </w:r>
      <w:proofErr w:type="spellStart"/>
      <w:r>
        <w:rPr>
          <w:rStyle w:val="citation-100"/>
          <w:rFonts w:eastAsiaTheme="majorEastAsia"/>
        </w:rPr>
        <w:t>fágterápia</w:t>
      </w:r>
      <w:proofErr w:type="spellEnd"/>
      <w:r>
        <w:rPr>
          <w:rStyle w:val="citation-100"/>
          <w:rFonts w:eastAsiaTheme="majorEastAsia"/>
        </w:rPr>
        <w:t xml:space="preserve"> a bakteriofágok – olyan vírusok, amelyek specifikusan baktériumokat fertőznek meg és pusztítanak el – alkalmazását jelenti</w:t>
      </w:r>
      <w:r>
        <w:t>.</w:t>
      </w:r>
    </w:p>
    <w:p w14:paraId="6557FEF2" w14:textId="77777777" w:rsidR="0092588C" w:rsidRDefault="0092588C" w:rsidP="0092588C">
      <w:pPr>
        <w:pStyle w:val="NormlWeb"/>
        <w:numPr>
          <w:ilvl w:val="0"/>
          <w:numId w:val="19"/>
        </w:numPr>
        <w:spacing w:after="160" w:afterAutospacing="0"/>
        <w:jc w:val="both"/>
      </w:pPr>
      <w:r>
        <w:rPr>
          <w:rStyle w:val="citation-99"/>
          <w:rFonts w:eastAsiaTheme="majorEastAsia"/>
          <w:b/>
          <w:bCs/>
        </w:rPr>
        <w:t>Működési elv:</w:t>
      </w:r>
      <w:r>
        <w:rPr>
          <w:rStyle w:val="citation-99"/>
          <w:rFonts w:eastAsiaTheme="majorEastAsia"/>
        </w:rPr>
        <w:t xml:space="preserve"> A </w:t>
      </w:r>
      <w:proofErr w:type="spellStart"/>
      <w:r>
        <w:rPr>
          <w:rStyle w:val="citation-99"/>
          <w:rFonts w:eastAsiaTheme="majorEastAsia"/>
        </w:rPr>
        <w:t>fágok</w:t>
      </w:r>
      <w:proofErr w:type="spellEnd"/>
      <w:r>
        <w:rPr>
          <w:rStyle w:val="citation-99"/>
          <w:rFonts w:eastAsiaTheme="majorEastAsia"/>
        </w:rPr>
        <w:t xml:space="preserve"> rendkívül szelektívek, azaz csak bizonyos baktériumfajokat vagy törzseket támadnak meg, így a hagyományos antibiotikumokkal ellentétben nem károsítják a gazdaszervezet hasznos </w:t>
      </w:r>
      <w:proofErr w:type="spellStart"/>
      <w:r>
        <w:rPr>
          <w:rStyle w:val="citation-99"/>
          <w:rFonts w:eastAsiaTheme="majorEastAsia"/>
        </w:rPr>
        <w:t>mikrobiomját</w:t>
      </w:r>
      <w:proofErr w:type="spellEnd"/>
      <w:r>
        <w:rPr>
          <w:rStyle w:val="citation-99"/>
          <w:rFonts w:eastAsiaTheme="majorEastAsia"/>
        </w:rPr>
        <w:t xml:space="preserve"> (bélflóráját)</w:t>
      </w:r>
      <w:r>
        <w:t>.</w:t>
      </w:r>
    </w:p>
    <w:p w14:paraId="7BDC65C6" w14:textId="77777777" w:rsidR="0092588C" w:rsidRDefault="0092588C" w:rsidP="0092588C">
      <w:pPr>
        <w:pStyle w:val="NormlWeb"/>
        <w:numPr>
          <w:ilvl w:val="0"/>
          <w:numId w:val="19"/>
        </w:numPr>
        <w:spacing w:after="160" w:afterAutospacing="0"/>
        <w:jc w:val="both"/>
      </w:pPr>
      <w:proofErr w:type="spellStart"/>
      <w:r>
        <w:rPr>
          <w:b/>
          <w:bCs/>
        </w:rPr>
        <w:t>Fág</w:t>
      </w:r>
      <w:proofErr w:type="spellEnd"/>
      <w:r>
        <w:rPr>
          <w:b/>
          <w:bCs/>
        </w:rPr>
        <w:t>-Antibiotikum Szinergia (PAS):</w:t>
      </w:r>
      <w:r>
        <w:t xml:space="preserve"> Ez egy új és ígéretes megközelítés, ahol a </w:t>
      </w:r>
      <w:proofErr w:type="spellStart"/>
      <w:r>
        <w:t>fágokat</w:t>
      </w:r>
      <w:proofErr w:type="spellEnd"/>
      <w:r>
        <w:t xml:space="preserve"> és az antibiotikumokat kombinálva alkalmazzák ("kettő jobb, mint egy" elv). </w:t>
      </w:r>
      <w:r>
        <w:rPr>
          <w:rStyle w:val="citation-98"/>
          <w:rFonts w:eastAsiaTheme="majorEastAsia"/>
        </w:rPr>
        <w:t xml:space="preserve">Kutatások kimutatták, hogy a </w:t>
      </w:r>
      <w:proofErr w:type="spellStart"/>
      <w:r>
        <w:rPr>
          <w:rStyle w:val="citation-98"/>
          <w:rFonts w:eastAsiaTheme="majorEastAsia"/>
        </w:rPr>
        <w:t>fágok</w:t>
      </w:r>
      <w:proofErr w:type="spellEnd"/>
      <w:r>
        <w:rPr>
          <w:rStyle w:val="citation-98"/>
          <w:rFonts w:eastAsiaTheme="majorEastAsia"/>
        </w:rPr>
        <w:t xml:space="preserve"> képesek fokozni az antibiotikumok hatékonyságát, például a </w:t>
      </w:r>
      <w:proofErr w:type="spellStart"/>
      <w:r>
        <w:rPr>
          <w:rStyle w:val="citation-98"/>
          <w:rFonts w:eastAsiaTheme="majorEastAsia"/>
        </w:rPr>
        <w:t>meticillin</w:t>
      </w:r>
      <w:proofErr w:type="spellEnd"/>
      <w:r>
        <w:rPr>
          <w:rStyle w:val="citation-98"/>
          <w:rFonts w:eastAsiaTheme="majorEastAsia"/>
        </w:rPr>
        <w:t xml:space="preserve">-rezisztens </w:t>
      </w:r>
      <w:proofErr w:type="spellStart"/>
      <w:r>
        <w:rPr>
          <w:rStyle w:val="citation-98"/>
          <w:rFonts w:eastAsiaTheme="majorEastAsia"/>
          <w:i/>
          <w:iCs/>
        </w:rPr>
        <w:t>Staphylococcus</w:t>
      </w:r>
      <w:proofErr w:type="spellEnd"/>
      <w:r>
        <w:rPr>
          <w:rStyle w:val="citation-98"/>
          <w:rFonts w:eastAsiaTheme="majorEastAsia"/>
          <w:i/>
          <w:iCs/>
        </w:rPr>
        <w:t xml:space="preserve"> </w:t>
      </w:r>
      <w:proofErr w:type="spellStart"/>
      <w:r>
        <w:rPr>
          <w:rStyle w:val="citation-98"/>
          <w:rFonts w:eastAsiaTheme="majorEastAsia"/>
          <w:i/>
          <w:iCs/>
        </w:rPr>
        <w:t>aureus</w:t>
      </w:r>
      <w:proofErr w:type="spellEnd"/>
      <w:r>
        <w:rPr>
          <w:rStyle w:val="citation-98"/>
          <w:rFonts w:eastAsiaTheme="majorEastAsia"/>
        </w:rPr>
        <w:t xml:space="preserve"> (MRSA) ellen </w:t>
      </w:r>
      <w:proofErr w:type="spellStart"/>
      <w:r>
        <w:rPr>
          <w:rStyle w:val="citation-98"/>
          <w:rFonts w:eastAsiaTheme="majorEastAsia"/>
        </w:rPr>
        <w:t>linezoliddal</w:t>
      </w:r>
      <w:proofErr w:type="spellEnd"/>
      <w:r>
        <w:rPr>
          <w:rStyle w:val="citation-98"/>
          <w:rFonts w:eastAsiaTheme="majorEastAsia"/>
        </w:rPr>
        <w:t xml:space="preserve">, vagy a </w:t>
      </w:r>
      <w:r>
        <w:rPr>
          <w:rStyle w:val="citation-98"/>
          <w:rFonts w:eastAsiaTheme="majorEastAsia"/>
          <w:i/>
          <w:iCs/>
        </w:rPr>
        <w:t>Pseudomonas aeruginosa</w:t>
      </w:r>
      <w:r>
        <w:rPr>
          <w:rStyle w:val="citation-98"/>
          <w:rFonts w:eastAsiaTheme="majorEastAsia"/>
        </w:rPr>
        <w:t xml:space="preserve"> ellen </w:t>
      </w:r>
      <w:proofErr w:type="spellStart"/>
      <w:r>
        <w:rPr>
          <w:rStyle w:val="citation-98"/>
          <w:rFonts w:eastAsiaTheme="majorEastAsia"/>
        </w:rPr>
        <w:t>meropenemmel</w:t>
      </w:r>
      <w:proofErr w:type="spellEnd"/>
      <w:r>
        <w:rPr>
          <w:rStyle w:val="citation-98"/>
          <w:rFonts w:eastAsiaTheme="majorEastAsia"/>
        </w:rPr>
        <w:t xml:space="preserve"> kombinálva</w:t>
      </w:r>
      <w:r>
        <w:t xml:space="preserve">. </w:t>
      </w:r>
      <w:r>
        <w:rPr>
          <w:rStyle w:val="citation-97"/>
          <w:rFonts w:eastAsiaTheme="majorEastAsia"/>
        </w:rPr>
        <w:t xml:space="preserve">A szinergia lényege, hogy a </w:t>
      </w:r>
      <w:proofErr w:type="spellStart"/>
      <w:r>
        <w:rPr>
          <w:rStyle w:val="citation-97"/>
          <w:rFonts w:eastAsiaTheme="majorEastAsia"/>
        </w:rPr>
        <w:t>fágfertőzés</w:t>
      </w:r>
      <w:proofErr w:type="spellEnd"/>
      <w:r>
        <w:rPr>
          <w:rStyle w:val="citation-97"/>
          <w:rFonts w:eastAsiaTheme="majorEastAsia"/>
        </w:rPr>
        <w:t xml:space="preserve"> olyan stresszválaszt vagy szerkezeti változást idézhet elő a baktériumban, ami újra érzékennyé teszi azt az antibiotikumra</w:t>
      </w:r>
      <w:r>
        <w:t>.</w:t>
      </w:r>
    </w:p>
    <w:p w14:paraId="5139514B" w14:textId="77777777" w:rsidR="0092588C" w:rsidRDefault="0092588C" w:rsidP="0092588C">
      <w:pPr>
        <w:pStyle w:val="NormlWeb"/>
        <w:numPr>
          <w:ilvl w:val="0"/>
          <w:numId w:val="19"/>
        </w:numPr>
        <w:spacing w:after="160" w:afterAutospacing="0"/>
        <w:jc w:val="both"/>
      </w:pPr>
      <w:r>
        <w:rPr>
          <w:rStyle w:val="citation-96"/>
          <w:rFonts w:eastAsiaTheme="majorEastAsia"/>
          <w:b/>
          <w:bCs/>
        </w:rPr>
        <w:t>Kihívások:</w:t>
      </w:r>
      <w:r>
        <w:rPr>
          <w:rStyle w:val="citation-96"/>
          <w:rFonts w:eastAsiaTheme="majorEastAsia"/>
        </w:rPr>
        <w:t xml:space="preserve"> Bár ígéretes, a módszer alkalmazását nehezíti a </w:t>
      </w:r>
      <w:proofErr w:type="spellStart"/>
      <w:r>
        <w:rPr>
          <w:rStyle w:val="citation-96"/>
          <w:rFonts w:eastAsiaTheme="majorEastAsia"/>
        </w:rPr>
        <w:t>fágok</w:t>
      </w:r>
      <w:proofErr w:type="spellEnd"/>
      <w:r>
        <w:rPr>
          <w:rStyle w:val="citation-96"/>
          <w:rFonts w:eastAsiaTheme="majorEastAsia"/>
        </w:rPr>
        <w:t xml:space="preserve"> stabilitása, a célba juttatás (</w:t>
      </w:r>
      <w:proofErr w:type="spellStart"/>
      <w:r>
        <w:rPr>
          <w:rStyle w:val="citation-96"/>
          <w:rFonts w:eastAsiaTheme="majorEastAsia"/>
        </w:rPr>
        <w:t>delivery</w:t>
      </w:r>
      <w:proofErr w:type="spellEnd"/>
      <w:r>
        <w:rPr>
          <w:rStyle w:val="citation-96"/>
          <w:rFonts w:eastAsiaTheme="majorEastAsia"/>
        </w:rPr>
        <w:t xml:space="preserve">) nehézségei valós körülmények között, valamint a baktériumok </w:t>
      </w:r>
      <w:proofErr w:type="spellStart"/>
      <w:r>
        <w:rPr>
          <w:rStyle w:val="citation-96"/>
          <w:rFonts w:eastAsiaTheme="majorEastAsia"/>
        </w:rPr>
        <w:t>fágokkal</w:t>
      </w:r>
      <w:proofErr w:type="spellEnd"/>
      <w:r>
        <w:rPr>
          <w:rStyle w:val="citation-96"/>
          <w:rFonts w:eastAsiaTheme="majorEastAsia"/>
        </w:rPr>
        <w:t xml:space="preserve"> szembeni rezisztenciájának esetleges kialakulása</w:t>
      </w:r>
      <w:r>
        <w:t>.</w:t>
      </w:r>
    </w:p>
    <w:p w14:paraId="1EF08789" w14:textId="77777777" w:rsidR="0092588C" w:rsidRDefault="0092588C" w:rsidP="0092588C">
      <w:pPr>
        <w:pStyle w:val="NormlWeb"/>
        <w:spacing w:after="160" w:afterAutospacing="0"/>
        <w:jc w:val="both"/>
      </w:pPr>
      <w:r>
        <w:rPr>
          <w:b/>
          <w:bCs/>
        </w:rPr>
        <w:t>2. CRISPR-Cas9 alapú génszerkesztés</w:t>
      </w:r>
      <w:r>
        <w:t xml:space="preserve"> Ez a technológia nem a baktérium elpusztítására, hanem a rezisztencia "kikapcsolására" fókuszál.</w:t>
      </w:r>
    </w:p>
    <w:p w14:paraId="0C8C4BB8" w14:textId="77777777" w:rsidR="0092588C" w:rsidRDefault="0092588C" w:rsidP="0092588C">
      <w:pPr>
        <w:pStyle w:val="NormlWeb"/>
        <w:numPr>
          <w:ilvl w:val="0"/>
          <w:numId w:val="20"/>
        </w:numPr>
        <w:spacing w:after="160" w:afterAutospacing="0"/>
        <w:jc w:val="both"/>
      </w:pPr>
      <w:r>
        <w:rPr>
          <w:rStyle w:val="citation-95"/>
          <w:rFonts w:eastAsiaTheme="majorEastAsia"/>
          <w:b/>
          <w:bCs/>
        </w:rPr>
        <w:t>Precíziós szerkesztés:</w:t>
      </w:r>
      <w:r>
        <w:rPr>
          <w:rStyle w:val="citation-95"/>
          <w:rFonts w:eastAsiaTheme="majorEastAsia"/>
        </w:rPr>
        <w:t xml:space="preserve"> A CRISPR-Cas9 rendszer lehetővé teszi a rezisztenciagének (ARG-k) precíz célzását és szerkesztését a baktériumok DNS-ében</w:t>
      </w:r>
      <w:r>
        <w:t>. Gyakorlatilag molekuláris ollóként működve kivágja a rezisztenciáért felelős szekvenciát.</w:t>
      </w:r>
    </w:p>
    <w:p w14:paraId="7D41871D" w14:textId="77777777" w:rsidR="0092588C" w:rsidRDefault="0092588C" w:rsidP="0092588C">
      <w:pPr>
        <w:pStyle w:val="NormlWeb"/>
        <w:numPr>
          <w:ilvl w:val="0"/>
          <w:numId w:val="20"/>
        </w:numPr>
        <w:spacing w:after="160" w:afterAutospacing="0"/>
        <w:jc w:val="both"/>
      </w:pPr>
      <w:r>
        <w:rPr>
          <w:rStyle w:val="citation-94"/>
          <w:rFonts w:eastAsiaTheme="majorEastAsia"/>
          <w:b/>
          <w:bCs/>
        </w:rPr>
        <w:t>Rezisztencia visszafordítása:</w:t>
      </w:r>
      <w:r>
        <w:rPr>
          <w:rStyle w:val="citation-94"/>
          <w:rFonts w:eastAsiaTheme="majorEastAsia"/>
        </w:rPr>
        <w:t xml:space="preserve"> Ezzel a módszerrel a rezisztens baktériumok újra antibiotikum-érzékennyé tehetők (a rezisztencia-szerzés visszafordítása), megakadályozva a rezisztens </w:t>
      </w:r>
      <w:proofErr w:type="spellStart"/>
      <w:r>
        <w:rPr>
          <w:rStyle w:val="citation-94"/>
          <w:rFonts w:eastAsiaTheme="majorEastAsia"/>
        </w:rPr>
        <w:t>fenotípus</w:t>
      </w:r>
      <w:proofErr w:type="spellEnd"/>
      <w:r>
        <w:rPr>
          <w:rStyle w:val="citation-94"/>
          <w:rFonts w:eastAsiaTheme="majorEastAsia"/>
        </w:rPr>
        <w:t xml:space="preserve"> terjedését</w:t>
      </w:r>
      <w:r>
        <w:t>.</w:t>
      </w:r>
    </w:p>
    <w:p w14:paraId="55E9695B" w14:textId="77777777" w:rsidR="0092588C" w:rsidRDefault="0092588C" w:rsidP="0092588C">
      <w:pPr>
        <w:pStyle w:val="NormlWeb"/>
        <w:numPr>
          <w:ilvl w:val="0"/>
          <w:numId w:val="20"/>
        </w:numPr>
        <w:spacing w:after="160" w:afterAutospacing="0"/>
        <w:jc w:val="both"/>
      </w:pPr>
      <w:proofErr w:type="spellStart"/>
      <w:r>
        <w:rPr>
          <w:rStyle w:val="citation-93"/>
          <w:b/>
          <w:bCs/>
        </w:rPr>
        <w:t>Bioengineered</w:t>
      </w:r>
      <w:proofErr w:type="spellEnd"/>
      <w:r>
        <w:rPr>
          <w:rStyle w:val="citation-93"/>
          <w:b/>
          <w:bCs/>
        </w:rPr>
        <w:t xml:space="preserve"> </w:t>
      </w:r>
      <w:proofErr w:type="spellStart"/>
      <w:r>
        <w:rPr>
          <w:rStyle w:val="citation-93"/>
          <w:b/>
          <w:bCs/>
        </w:rPr>
        <w:t>fágok</w:t>
      </w:r>
      <w:proofErr w:type="spellEnd"/>
      <w:r>
        <w:rPr>
          <w:rStyle w:val="citation-93"/>
          <w:b/>
          <w:bCs/>
        </w:rPr>
        <w:t>:</w:t>
      </w:r>
      <w:r>
        <w:rPr>
          <w:rStyle w:val="citation-93"/>
        </w:rPr>
        <w:t xml:space="preserve"> A CRISPR rendszert gyakran módosított (</w:t>
      </w:r>
      <w:proofErr w:type="spellStart"/>
      <w:r>
        <w:rPr>
          <w:rStyle w:val="citation-93"/>
        </w:rPr>
        <w:t>bioengineered</w:t>
      </w:r>
      <w:proofErr w:type="spellEnd"/>
      <w:r>
        <w:rPr>
          <w:rStyle w:val="citation-93"/>
        </w:rPr>
        <w:t xml:space="preserve">) </w:t>
      </w:r>
      <w:proofErr w:type="spellStart"/>
      <w:r>
        <w:rPr>
          <w:rStyle w:val="citation-93"/>
        </w:rPr>
        <w:t>fágok</w:t>
      </w:r>
      <w:proofErr w:type="spellEnd"/>
      <w:r>
        <w:rPr>
          <w:rStyle w:val="citation-93"/>
        </w:rPr>
        <w:t xml:space="preserve"> segítségével juttatják be a baktériumsejtekbe, ami egy hatékony "szállítóeszköz" lehet, bár a szabályozási akadályok és a rezisztencia itt is jelentős kihívást jelentenek</w:t>
      </w:r>
      <w:r>
        <w:t>.</w:t>
      </w:r>
    </w:p>
    <w:p w14:paraId="767BB1C8" w14:textId="77777777" w:rsidR="0092588C" w:rsidRDefault="0092588C" w:rsidP="0092588C">
      <w:pPr>
        <w:pStyle w:val="NormlWeb"/>
        <w:spacing w:after="160" w:afterAutospacing="0"/>
        <w:jc w:val="both"/>
      </w:pPr>
      <w:r>
        <w:rPr>
          <w:b/>
          <w:bCs/>
        </w:rPr>
        <w:t xml:space="preserve">3. Élő mikrobiális terápiák (LMT) és </w:t>
      </w:r>
      <w:proofErr w:type="spellStart"/>
      <w:r>
        <w:rPr>
          <w:b/>
          <w:bCs/>
        </w:rPr>
        <w:t>Mikrobiom</w:t>
      </w:r>
      <w:proofErr w:type="spellEnd"/>
      <w:r>
        <w:rPr>
          <w:b/>
          <w:bCs/>
        </w:rPr>
        <w:t xml:space="preserve"> helyreállítás</w:t>
      </w:r>
      <w:r>
        <w:t xml:space="preserve"> Ez a stratégia a szervezet saját védekezőképességét, a "kolonizációs rezisztenciát" állítja helyre.</w:t>
      </w:r>
    </w:p>
    <w:p w14:paraId="02602AD0" w14:textId="77777777" w:rsidR="0092588C" w:rsidRDefault="0092588C" w:rsidP="0092588C">
      <w:pPr>
        <w:pStyle w:val="NormlWeb"/>
        <w:numPr>
          <w:ilvl w:val="0"/>
          <w:numId w:val="21"/>
        </w:numPr>
        <w:spacing w:after="160" w:afterAutospacing="0"/>
        <w:jc w:val="both"/>
      </w:pPr>
      <w:r>
        <w:rPr>
          <w:b/>
          <w:bCs/>
        </w:rPr>
        <w:lastRenderedPageBreak/>
        <w:t>Széklet-transzplantáció (FMT):</w:t>
      </w:r>
      <w:r>
        <w:t xml:space="preserve"> Az FMT során egészséges donortól származó széklet-</w:t>
      </w:r>
      <w:proofErr w:type="spellStart"/>
      <w:r>
        <w:t>mikrobiótát</w:t>
      </w:r>
      <w:proofErr w:type="spellEnd"/>
      <w:r>
        <w:t xml:space="preserve"> juttatnak a betegbe. </w:t>
      </w:r>
      <w:r>
        <w:rPr>
          <w:rStyle w:val="citation-92"/>
          <w:rFonts w:eastAsiaTheme="majorEastAsia"/>
        </w:rPr>
        <w:t xml:space="preserve">Ez bizonyítottan hatékony a visszatérő </w:t>
      </w:r>
      <w:proofErr w:type="spellStart"/>
      <w:r>
        <w:rPr>
          <w:rStyle w:val="citation-92"/>
          <w:rFonts w:eastAsiaTheme="majorEastAsia"/>
          <w:i/>
          <w:iCs/>
        </w:rPr>
        <w:t>Clostridioides</w:t>
      </w:r>
      <w:proofErr w:type="spellEnd"/>
      <w:r>
        <w:rPr>
          <w:rStyle w:val="citation-92"/>
          <w:rFonts w:eastAsiaTheme="majorEastAsia"/>
          <w:i/>
          <w:iCs/>
        </w:rPr>
        <w:t xml:space="preserve"> </w:t>
      </w:r>
      <w:proofErr w:type="spellStart"/>
      <w:r>
        <w:rPr>
          <w:rStyle w:val="citation-92"/>
          <w:rFonts w:eastAsiaTheme="majorEastAsia"/>
          <w:i/>
          <w:iCs/>
        </w:rPr>
        <w:t>difficile</w:t>
      </w:r>
      <w:proofErr w:type="spellEnd"/>
      <w:r>
        <w:rPr>
          <w:rStyle w:val="citation-92"/>
          <w:rFonts w:eastAsiaTheme="majorEastAsia"/>
        </w:rPr>
        <w:t xml:space="preserve"> fertőzések kezelésében, és ígéretes eredményeket mutat a multirezisztens </w:t>
      </w:r>
      <w:proofErr w:type="spellStart"/>
      <w:r>
        <w:rPr>
          <w:rStyle w:val="citation-92"/>
          <w:rFonts w:eastAsiaTheme="majorEastAsia"/>
          <w:i/>
          <w:iCs/>
        </w:rPr>
        <w:t>Enterobacteriaceae</w:t>
      </w:r>
      <w:proofErr w:type="spellEnd"/>
      <w:r>
        <w:rPr>
          <w:rStyle w:val="citation-92"/>
          <w:rFonts w:eastAsiaTheme="majorEastAsia"/>
        </w:rPr>
        <w:t xml:space="preserve"> és </w:t>
      </w:r>
      <w:proofErr w:type="spellStart"/>
      <w:r>
        <w:rPr>
          <w:rStyle w:val="citation-92"/>
          <w:rFonts w:eastAsiaTheme="majorEastAsia"/>
        </w:rPr>
        <w:t>vankomicin</w:t>
      </w:r>
      <w:proofErr w:type="spellEnd"/>
      <w:r>
        <w:rPr>
          <w:rStyle w:val="citation-92"/>
          <w:rFonts w:eastAsiaTheme="majorEastAsia"/>
        </w:rPr>
        <w:t xml:space="preserve">-rezisztens </w:t>
      </w:r>
      <w:proofErr w:type="spellStart"/>
      <w:r>
        <w:rPr>
          <w:rStyle w:val="citation-92"/>
          <w:rFonts w:eastAsiaTheme="majorEastAsia"/>
          <w:i/>
          <w:iCs/>
        </w:rPr>
        <w:t>Enterococcusok</w:t>
      </w:r>
      <w:proofErr w:type="spellEnd"/>
      <w:r>
        <w:rPr>
          <w:rStyle w:val="citation-92"/>
          <w:rFonts w:eastAsiaTheme="majorEastAsia"/>
        </w:rPr>
        <w:t xml:space="preserve"> (VRE) dekolonizációjában (eltávolításában) is</w:t>
      </w:r>
      <w:r>
        <w:t xml:space="preserve">. </w:t>
      </w:r>
      <w:r>
        <w:rPr>
          <w:rStyle w:val="citation-91"/>
        </w:rPr>
        <w:t xml:space="preserve">A cél a </w:t>
      </w:r>
      <w:proofErr w:type="spellStart"/>
      <w:r>
        <w:rPr>
          <w:rStyle w:val="citation-91"/>
        </w:rPr>
        <w:t>bélrezisztom</w:t>
      </w:r>
      <w:proofErr w:type="spellEnd"/>
      <w:r>
        <w:rPr>
          <w:rStyle w:val="citation-91"/>
        </w:rPr>
        <w:t xml:space="preserve"> (a bélben lévő rezisztenciagének összessége) profiljának átformálása</w:t>
      </w:r>
      <w:r>
        <w:t>.</w:t>
      </w:r>
    </w:p>
    <w:p w14:paraId="3E57296E" w14:textId="77777777" w:rsidR="0092588C" w:rsidRDefault="0092588C" w:rsidP="0092588C">
      <w:pPr>
        <w:pStyle w:val="NormlWeb"/>
        <w:numPr>
          <w:ilvl w:val="0"/>
          <w:numId w:val="21"/>
        </w:numPr>
        <w:spacing w:after="160" w:afterAutospacing="0"/>
        <w:jc w:val="both"/>
      </w:pPr>
      <w:r>
        <w:rPr>
          <w:rStyle w:val="citation-90"/>
          <w:rFonts w:eastAsiaTheme="majorEastAsia"/>
          <w:b/>
          <w:bCs/>
        </w:rPr>
        <w:t>Szintetikus baktériumközösségek:</w:t>
      </w:r>
      <w:r>
        <w:rPr>
          <w:rStyle w:val="citation-90"/>
          <w:rFonts w:eastAsiaTheme="majorEastAsia"/>
        </w:rPr>
        <w:t xml:space="preserve"> A "következő generációs </w:t>
      </w:r>
      <w:proofErr w:type="spellStart"/>
      <w:r>
        <w:rPr>
          <w:rStyle w:val="citation-90"/>
          <w:rFonts w:eastAsiaTheme="majorEastAsia"/>
        </w:rPr>
        <w:t>probiotikumok</w:t>
      </w:r>
      <w:proofErr w:type="spellEnd"/>
      <w:r>
        <w:rPr>
          <w:rStyle w:val="citation-90"/>
          <w:rFonts w:eastAsiaTheme="majorEastAsia"/>
        </w:rPr>
        <w:t>" már nemcsak egy-egy törzset tartalmaznak, hanem laboratóriumban tervezett, szintetikus mikrobaközösségeket (konzorciumokat)</w:t>
      </w:r>
      <w:r>
        <w:t xml:space="preserve">. </w:t>
      </w:r>
      <w:r>
        <w:rPr>
          <w:rStyle w:val="citation-89"/>
        </w:rPr>
        <w:t xml:space="preserve">Ezeket kifejezetten úgy tervezik, hogy célzottan módosítsák a </w:t>
      </w:r>
      <w:proofErr w:type="spellStart"/>
      <w:r>
        <w:rPr>
          <w:rStyle w:val="citation-89"/>
        </w:rPr>
        <w:t>mikrobiomot</w:t>
      </w:r>
      <w:proofErr w:type="spellEnd"/>
      <w:r>
        <w:rPr>
          <w:rStyle w:val="citation-89"/>
        </w:rPr>
        <w:t xml:space="preserve">, és kiszorítsák a rezisztens kórokozókat, illetve elnyomják a rezisztenciagének terjedését (ARG </w:t>
      </w:r>
      <w:proofErr w:type="spellStart"/>
      <w:r>
        <w:rPr>
          <w:rStyle w:val="citation-89"/>
        </w:rPr>
        <w:t>szuppresszió</w:t>
      </w:r>
      <w:proofErr w:type="spellEnd"/>
      <w:r>
        <w:rPr>
          <w:rStyle w:val="citation-89"/>
        </w:rPr>
        <w:t>)</w:t>
      </w:r>
      <w:r>
        <w:t>.</w:t>
      </w:r>
    </w:p>
    <w:p w14:paraId="30DD3FD3" w14:textId="77777777" w:rsidR="0092588C" w:rsidRDefault="0092588C" w:rsidP="0092588C">
      <w:pPr>
        <w:pStyle w:val="NormlWeb"/>
        <w:numPr>
          <w:ilvl w:val="0"/>
          <w:numId w:val="21"/>
        </w:numPr>
        <w:spacing w:after="160" w:afterAutospacing="0"/>
        <w:jc w:val="both"/>
      </w:pPr>
      <w:r>
        <w:rPr>
          <w:b/>
          <w:bCs/>
        </w:rPr>
        <w:t>Kolonizációs rezisztencia (CR):</w:t>
      </w:r>
      <w:r>
        <w:t xml:space="preserve"> Az egészséges </w:t>
      </w:r>
      <w:proofErr w:type="spellStart"/>
      <w:r>
        <w:t>mikrobiom</w:t>
      </w:r>
      <w:proofErr w:type="spellEnd"/>
      <w:r>
        <w:t xml:space="preserve"> gátolja a </w:t>
      </w:r>
      <w:proofErr w:type="spellStart"/>
      <w:r>
        <w:t>patogének</w:t>
      </w:r>
      <w:proofErr w:type="spellEnd"/>
      <w:r>
        <w:t xml:space="preserve"> megtelepedését tápanyag-</w:t>
      </w:r>
      <w:proofErr w:type="spellStart"/>
      <w:r>
        <w:t>kompetícióval</w:t>
      </w:r>
      <w:proofErr w:type="spellEnd"/>
      <w:r>
        <w:t xml:space="preserve"> és antimikrobiális anyagok termelésével. </w:t>
      </w:r>
      <w:r>
        <w:rPr>
          <w:rStyle w:val="citation-88"/>
        </w:rPr>
        <w:t>Az antibiotikumok ezt a védvonalat rombolják le, az LMT célja ennek a visszaépítése</w:t>
      </w:r>
      <w:r>
        <w:t>.</w:t>
      </w:r>
    </w:p>
    <w:p w14:paraId="529F3440" w14:textId="77777777" w:rsidR="00CB1575" w:rsidRPr="00CB1575" w:rsidRDefault="00CB1575" w:rsidP="0092588C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Kémiai és fizikai technológiák:</w:t>
      </w:r>
    </w:p>
    <w:p w14:paraId="0E08DB09" w14:textId="77777777" w:rsidR="0092588C" w:rsidRPr="0092588C" w:rsidRDefault="0092588C" w:rsidP="0092588C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1. </w:t>
      </w:r>
      <w:proofErr w:type="gramStart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Anti-virulencia</w:t>
      </w:r>
      <w:proofErr w:type="gramEnd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stratégiák és </w:t>
      </w:r>
      <w:proofErr w:type="spellStart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Quorum</w:t>
      </w:r>
      <w:proofErr w:type="spellEnd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Quenching</w:t>
      </w:r>
      <w:proofErr w:type="spellEnd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(QQ)</w:t>
      </w:r>
    </w:p>
    <w:p w14:paraId="04C7AC4F" w14:textId="77777777" w:rsidR="0092588C" w:rsidRPr="0092588C" w:rsidRDefault="0092588C" w:rsidP="0092588C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 a megközelítés alapvetően szakít a hagyományos antibiotikumok "ölj vagy semmisíts meg" elvével.</w:t>
      </w:r>
    </w:p>
    <w:p w14:paraId="7B2A0379" w14:textId="041998EE" w:rsidR="0092588C" w:rsidRPr="0092588C" w:rsidRDefault="0092588C" w:rsidP="0092588C">
      <w:pPr>
        <w:numPr>
          <w:ilvl w:val="0"/>
          <w:numId w:val="22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Az alapelv: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baktériumok kémiai jelekkel (szignálmolekulákkal) kommunikálnak egymással, amit </w:t>
      </w:r>
      <w:proofErr w:type="spellStart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quorum</w:t>
      </w:r>
      <w:proofErr w:type="spellEnd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sensingnek</w:t>
      </w:r>
      <w:proofErr w:type="spellEnd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(QS)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hívunk. Ezzel mérik fel a saját létszámukat, és ha elérnek egy kritikus tömeget, egyszerre ind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ul el a 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virulencia faktorok termelése vagy a védekezést biofilm képzés.</w:t>
      </w:r>
    </w:p>
    <w:p w14:paraId="15D442AE" w14:textId="6BD342B9" w:rsidR="0092588C" w:rsidRPr="0092588C" w:rsidRDefault="0092588C" w:rsidP="0092588C">
      <w:pPr>
        <w:numPr>
          <w:ilvl w:val="0"/>
          <w:numId w:val="22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 beavatkozás (</w:t>
      </w:r>
      <w:proofErr w:type="spellStart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Quorum</w:t>
      </w:r>
      <w:proofErr w:type="spellEnd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Quenching</w:t>
      </w:r>
      <w:proofErr w:type="spellEnd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):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QQ technológia ezt a kommunikációs vonalat vágja 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a bacik 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nem tudnak szervezett közösségként (</w:t>
      </w:r>
      <w:proofErr w:type="spellStart"/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biofilmként</w:t>
      </w:r>
      <w:proofErr w:type="spellEnd"/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 viselkedni.</w:t>
      </w:r>
      <w:r w:rsidR="006A42D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</w:t>
      </w:r>
      <w:r w:rsidR="006A42D2" w:rsidRPr="006A42D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őként </w:t>
      </w:r>
      <w:r w:rsidR="006A42D2" w:rsidRPr="006A4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növényi eredetű vegyületeket</w:t>
      </w:r>
      <w:r w:rsidR="006A42D2" w:rsidRPr="006A42D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(pl. </w:t>
      </w:r>
      <w:proofErr w:type="spellStart"/>
      <w:r w:rsidR="006A42D2" w:rsidRPr="006A42D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karvakrol</w:t>
      </w:r>
      <w:proofErr w:type="spellEnd"/>
      <w:r w:rsidR="006A42D2" w:rsidRPr="006A42D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oregánó kivonat, citrusfélék </w:t>
      </w:r>
      <w:proofErr w:type="spellStart"/>
      <w:r w:rsidR="006A42D2" w:rsidRPr="006A42D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származékai</w:t>
      </w:r>
      <w:proofErr w:type="spellEnd"/>
      <w:r w:rsidR="006A42D2" w:rsidRPr="006A42D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), </w:t>
      </w:r>
      <w:r w:rsidR="006A42D2" w:rsidRPr="006A4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szerves savakat</w:t>
      </w:r>
      <w:r w:rsidR="006A42D2" w:rsidRPr="006A42D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</w:t>
      </w:r>
      <w:r w:rsidR="006A42D2" w:rsidRPr="006A4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fehérjéket</w:t>
      </w:r>
      <w:r w:rsidR="006A42D2" w:rsidRPr="006A42D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(pl. </w:t>
      </w:r>
      <w:proofErr w:type="spellStart"/>
      <w:r w:rsidR="006A42D2" w:rsidRPr="006A42D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laktoferrin</w:t>
      </w:r>
      <w:proofErr w:type="spellEnd"/>
      <w:r w:rsidR="006A42D2" w:rsidRPr="006A42D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) és egyes </w:t>
      </w:r>
      <w:r w:rsidR="006A42D2" w:rsidRPr="006A42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gyógyszermolekulákat</w:t>
      </w:r>
      <w:r w:rsidR="006A42D2" w:rsidRPr="006A42D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(pl. </w:t>
      </w:r>
      <w:proofErr w:type="spellStart"/>
      <w:r w:rsidR="006A42D2" w:rsidRPr="006A42D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rifaximin</w:t>
      </w:r>
      <w:proofErr w:type="spellEnd"/>
      <w:r w:rsidR="006A42D2" w:rsidRPr="006A42D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 alkalmaznak, amelyek a baktériumok elpusztítása nélkül gátolják azok kommunikációját, mozgását és megtapadását.</w:t>
      </w:r>
    </w:p>
    <w:p w14:paraId="0B0EBB4C" w14:textId="29980F6F" w:rsidR="0092588C" w:rsidRPr="0092588C" w:rsidRDefault="0092588C" w:rsidP="0092588C">
      <w:pPr>
        <w:numPr>
          <w:ilvl w:val="0"/>
          <w:numId w:val="22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Konkrét mechanizmusok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a virulencia faktorok gátlására</w:t>
      </w: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:</w:t>
      </w:r>
    </w:p>
    <w:p w14:paraId="4F33FAEC" w14:textId="6D7F2782" w:rsidR="0092588C" w:rsidRPr="0092588C" w:rsidRDefault="0092588C" w:rsidP="0092588C">
      <w:pPr>
        <w:numPr>
          <w:ilvl w:val="1"/>
          <w:numId w:val="22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Adhézió gátlása: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Egyes vegyületek blokkolják a baktériumok mozgásszerveit (ostorok/</w:t>
      </w:r>
      <w:proofErr w:type="spellStart"/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flagellum</w:t>
      </w:r>
      <w:proofErr w:type="spellEnd"/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 és tapadási felszíneit (</w:t>
      </w:r>
      <w:proofErr w:type="spellStart"/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pilusok</w:t>
      </w:r>
      <w:proofErr w:type="spellEnd"/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). Ha a baktérium nem tud odatapadni a szövethez vagy az orvosi eszközhöz, nem tud fertőzni.</w:t>
      </w:r>
    </w:p>
    <w:p w14:paraId="182DFEF0" w14:textId="15643EF8" w:rsidR="0092588C" w:rsidRPr="0092588C" w:rsidRDefault="0092588C" w:rsidP="0092588C">
      <w:pPr>
        <w:numPr>
          <w:ilvl w:val="1"/>
          <w:numId w:val="22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Toxin-termelés leállítása: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virulencia faktorok gátlásával a baktérium ártalmatlanná válik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3799F070" w14:textId="41D073AE" w:rsidR="0092588C" w:rsidRPr="0092588C" w:rsidRDefault="0092588C" w:rsidP="0092588C">
      <w:pPr>
        <w:numPr>
          <w:ilvl w:val="0"/>
          <w:numId w:val="22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Evolúciós előny: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Mivel ezek a szerek nem gyakorolnak halálos szelekciós nyomást (nem ölik meg a baktériumot, csak "lefegyverzik"), a rezisztencia kialakulásának esélye sokkal kisebb, mint az antibiotikumoknál.</w:t>
      </w:r>
    </w:p>
    <w:p w14:paraId="27A9DBD2" w14:textId="77777777" w:rsidR="0092588C" w:rsidRPr="0092588C" w:rsidRDefault="0092588C" w:rsidP="0092588C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2. Nanotechnológia és Fejlett Oxidációs Eljárások (AOP)</w:t>
      </w:r>
    </w:p>
    <w:p w14:paraId="3A62C6AE" w14:textId="77777777" w:rsidR="0092588C" w:rsidRPr="0092588C" w:rsidRDefault="0092588C" w:rsidP="0092588C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Ezek a technológiák elsősorban a szennyvízkezelés forradalmasítását célozzák, mivel a hagyományos biológiai tisztítók (pl. eleveniszapos módszer) gyakran átengedik a mikroszennyezőket.</w:t>
      </w:r>
    </w:p>
    <w:p w14:paraId="7A6CCE4F" w14:textId="77777777" w:rsidR="0092588C" w:rsidRPr="0092588C" w:rsidRDefault="0092588C" w:rsidP="0092588C">
      <w:pPr>
        <w:numPr>
          <w:ilvl w:val="0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Nanotechnológia:</w:t>
      </w:r>
    </w:p>
    <w:p w14:paraId="3B33A961" w14:textId="6547B562" w:rsidR="0092588C" w:rsidRPr="0092588C" w:rsidRDefault="0092588C" w:rsidP="0092588C">
      <w:pPr>
        <w:numPr>
          <w:ilvl w:val="1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lastRenderedPageBreak/>
        <w:t>Anyagok: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Fém-oxid </w:t>
      </w:r>
      <w:proofErr w:type="spellStart"/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nanorészecskék</w:t>
      </w:r>
      <w:proofErr w:type="spellEnd"/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szén-alapú anyagok </w:t>
      </w:r>
      <w:r w:rsidR="006A42D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pl. 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szén nanocsövek.</w:t>
      </w:r>
    </w:p>
    <w:p w14:paraId="47F5D1AB" w14:textId="77777777" w:rsidR="0092588C" w:rsidRPr="0092588C" w:rsidRDefault="0092588C" w:rsidP="0092588C">
      <w:pPr>
        <w:numPr>
          <w:ilvl w:val="1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Hatásmechanizmus: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Ezek az anyagok kettős hatással bírnak. Egyrészt kiváló </w:t>
      </w: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adszorbensek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azaz a hatalmas fajlagos felületükön képesek megkötni a gyógyszermaradványokat (pl. a </w:t>
      </w:r>
      <w:proofErr w:type="spellStart"/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ciprofloxacint</w:t>
      </w:r>
      <w:proofErr w:type="spellEnd"/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). Másrészt antimikrobiális hatásúak: károsítják a baktériumok sejtfalát, gátolják a fehérjeszintézist és a DNS-replikációt.</w:t>
      </w:r>
    </w:p>
    <w:p w14:paraId="3C796862" w14:textId="0B066591" w:rsidR="0092588C" w:rsidRPr="0092588C" w:rsidRDefault="0092588C" w:rsidP="0092588C">
      <w:pPr>
        <w:numPr>
          <w:ilvl w:val="1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Kockázat: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"fegyver visszafelé is elsülhet": a </w:t>
      </w:r>
      <w:proofErr w:type="spellStart"/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nanorészecskék</w:t>
      </w:r>
      <w:proofErr w:type="spellEnd"/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környezetbe kerülése toxikus lehet, és bizonyos esetekben maguk is stresszt okozhatnak a baktériumoknak, ami védekezésképpen fokozhatja a rezisztenciagének átadását.</w:t>
      </w:r>
    </w:p>
    <w:p w14:paraId="18A65A96" w14:textId="77777777" w:rsidR="0092588C" w:rsidRPr="0092588C" w:rsidRDefault="0092588C" w:rsidP="0092588C">
      <w:pPr>
        <w:numPr>
          <w:ilvl w:val="0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Fejlett Oxidációs Eljárások (AOP):</w:t>
      </w:r>
    </w:p>
    <w:p w14:paraId="40EDDDF2" w14:textId="58AC79E1" w:rsidR="0092588C" w:rsidRPr="0092588C" w:rsidRDefault="0092588C" w:rsidP="0092588C">
      <w:pPr>
        <w:numPr>
          <w:ilvl w:val="1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Módszerek: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UV-sugárzás, Fenton-reakció, fotokatalízis (pl. TiO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hu-HU"/>
          <w14:ligatures w14:val="none"/>
        </w:rPr>
        <w:t>2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vagy </w:t>
      </w:r>
      <w:proofErr w:type="spellStart"/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ZnO</w:t>
      </w:r>
      <w:proofErr w:type="spellEnd"/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katalizátorokkal).</w:t>
      </w:r>
    </w:p>
    <w:p w14:paraId="00686243" w14:textId="5C83A8FE" w:rsidR="0092588C" w:rsidRPr="0092588C" w:rsidRDefault="0092588C" w:rsidP="0092588C">
      <w:pPr>
        <w:numPr>
          <w:ilvl w:val="1"/>
          <w:numId w:val="23"/>
        </w:numPr>
        <w:spacing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Ezek az eljárások rendkívül reaktív </w:t>
      </w: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hidroxilgyököket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generálnak. Ezek a gyökök nem válogatnak: oxidálják és visszafordíthatatlanul lebontják az antibiotikum-molekulákat és – ami még fontosabb – a </w:t>
      </w:r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szabadon lévő rezisztenciagéneket (pl. </w:t>
      </w:r>
      <w:proofErr w:type="spellStart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plazmid</w:t>
      </w:r>
      <w:proofErr w:type="spellEnd"/>
      <w:r w:rsidRPr="00925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DNS-t)</w:t>
      </w:r>
      <w:r w:rsidRPr="0092588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is. Ez az egyetlen biztos módszer arra, hogy a tisztított vízzel ne engedjünk ki funkcióképes örökítőanyagot a természetbe.</w:t>
      </w:r>
    </w:p>
    <w:p w14:paraId="7554CEEE" w14:textId="77777777" w:rsidR="003D447C" w:rsidRPr="00CB1575" w:rsidRDefault="003D447C" w:rsidP="003D447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1C0E045A" w14:textId="77777777" w:rsidR="00CB1575" w:rsidRPr="00CB1575" w:rsidRDefault="00CB1575" w:rsidP="00CB157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5. Mesterséges Intelligencia (AI) és gépi tanulás (ML)</w:t>
      </w:r>
    </w:p>
    <w:p w14:paraId="60C9B075" w14:textId="77777777" w:rsidR="00CB1575" w:rsidRPr="00CB1575" w:rsidRDefault="00CB1575" w:rsidP="00CB157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adatvezérelt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kutatás forradalmasítja az AMR elleni küzdelmet, lehetővé téve olyan összefüggések felismerését, amelyekre az emberi agy nem képes.</w:t>
      </w:r>
    </w:p>
    <w:p w14:paraId="34836873" w14:textId="0AF8F08E" w:rsidR="00CB1575" w:rsidRPr="00CB1575" w:rsidRDefault="00CB1575" w:rsidP="00CB1575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Prediktív modellezés: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AI algoritmusok segítségével előre jelezhetők a rezisztencia "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hotspotok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" és a jövőbeli kitörések a környezeti paraméterek (hőmérséklet, szennyezés) alapján.</w:t>
      </w:r>
    </w:p>
    <w:p w14:paraId="304AC57E" w14:textId="77342328" w:rsidR="00CB1575" w:rsidRPr="00CB1575" w:rsidRDefault="00CB1575" w:rsidP="00CB1575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In </w:t>
      </w:r>
      <w:proofErr w:type="spellStart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silico</w:t>
      </w:r>
      <w:proofErr w:type="spellEnd"/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gyógyszerkutatás: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mélytanulási (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deep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learning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 modellek képesek milliónyi molekulaszerkezetet átvizsgálni virtuálisan, hogy teljesen új hatásmechanizmusú antibiotikumokat (pl. halicin) találjanak, drasztikusan lerövidítve a gyógyszerfejlesztés idejét.</w:t>
      </w:r>
    </w:p>
    <w:p w14:paraId="3F8731B7" w14:textId="72C0DF1D" w:rsidR="00CB1575" w:rsidRDefault="00CB1575" w:rsidP="00CB1575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Klinikai döntéstámogatás: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Olyan AI rendszerek fejlesztése, amelyek a beteg egyéni kórtörténete és a lokális rezisztencia-adatok alapján azonnal a legmegfelelőbb, célzott antibiotikumot javasolják az orvosnak, elkerülve a felesleges próbálkozásokat.</w:t>
      </w:r>
    </w:p>
    <w:p w14:paraId="61816006" w14:textId="77777777" w:rsidR="003D447C" w:rsidRPr="00CB1575" w:rsidRDefault="003D447C" w:rsidP="003D447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408B0323" w14:textId="77777777" w:rsidR="00CB1575" w:rsidRPr="00CB1575" w:rsidRDefault="00CB1575" w:rsidP="00CB157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6. Kihívások és hiányosságok</w:t>
      </w:r>
    </w:p>
    <w:p w14:paraId="30041E66" w14:textId="77777777" w:rsidR="00CB1575" w:rsidRPr="00CB1575" w:rsidRDefault="00CB1575" w:rsidP="00CB157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technológiai fejlődés ellenére számos akadály nehezíti az új módszerek gyakorlati alkalmazását.</w:t>
      </w:r>
    </w:p>
    <w:p w14:paraId="290EE9E0" w14:textId="176F6D5F" w:rsidR="00CB1575" w:rsidRPr="00CB1575" w:rsidRDefault="00CB1575" w:rsidP="00CB1575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Szabványosítás hiánya: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Jelenleg nincsenek globálisan elfogadott protokollok arra, hogyan mérjük mennyiségileg a rezisztenciagéneket a különböző mátrixokban (talaj 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vs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. víz 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vs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 levegő), ami megnehezíti az eredmények összehasonlítását.</w:t>
      </w:r>
    </w:p>
    <w:p w14:paraId="3C2F0068" w14:textId="7170B7D0" w:rsidR="00CB1575" w:rsidRPr="00CB1575" w:rsidRDefault="00CB1575" w:rsidP="00CB1575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AI "Fekete doboz" probléma: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gépi tanulási algoritmusok döntési mechanizmusa gyakran átláthatatlan a kutatók számára ("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black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box</w:t>
      </w:r>
      <w:proofErr w:type="spellEnd"/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"), ami nehezíti a klinikai validációt és a bizalom kiépítését az orvosok körében.</w:t>
      </w:r>
    </w:p>
    <w:p w14:paraId="0388F6BF" w14:textId="09535BF4" w:rsidR="003D447C" w:rsidRPr="00CB1575" w:rsidRDefault="00CB1575" w:rsidP="003D447C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CB1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Adathiány:</w:t>
      </w:r>
      <w:r w:rsidRPr="00CB157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legtöbb modell és adatbázis a fejlett országokból származik. Az alacsony és közepes jövedelmű országokban, ahol a rezisztencia a legnagyobb terhet jelenti, óriási az adathiány, így a globális modellek torzíthatnak.</w:t>
      </w:r>
    </w:p>
    <w:p w14:paraId="675CCE8C" w14:textId="77777777" w:rsidR="00671B72" w:rsidRPr="00CB1575" w:rsidRDefault="00671B72" w:rsidP="00CB15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71B72" w:rsidRPr="00CB1575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42130" w14:textId="77777777" w:rsidR="007C16BA" w:rsidRDefault="007C16BA" w:rsidP="007C16BA">
      <w:pPr>
        <w:spacing w:after="0" w:line="240" w:lineRule="auto"/>
      </w:pPr>
      <w:r>
        <w:separator/>
      </w:r>
    </w:p>
  </w:endnote>
  <w:endnote w:type="continuationSeparator" w:id="0">
    <w:p w14:paraId="7F886518" w14:textId="77777777" w:rsidR="007C16BA" w:rsidRDefault="007C16BA" w:rsidP="007C1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4066971"/>
      <w:docPartObj>
        <w:docPartGallery w:val="Page Numbers (Bottom of Page)"/>
        <w:docPartUnique/>
      </w:docPartObj>
    </w:sdtPr>
    <w:sdtContent>
      <w:p w14:paraId="0CB79DD7" w14:textId="6559677E" w:rsidR="007C16BA" w:rsidRDefault="007C16B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5B2F53" w14:textId="77777777" w:rsidR="007C16BA" w:rsidRDefault="007C16B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80230" w14:textId="77777777" w:rsidR="007C16BA" w:rsidRDefault="007C16BA" w:rsidP="007C16BA">
      <w:pPr>
        <w:spacing w:after="0" w:line="240" w:lineRule="auto"/>
      </w:pPr>
      <w:r>
        <w:separator/>
      </w:r>
    </w:p>
  </w:footnote>
  <w:footnote w:type="continuationSeparator" w:id="0">
    <w:p w14:paraId="09B8C8CB" w14:textId="77777777" w:rsidR="007C16BA" w:rsidRDefault="007C16BA" w:rsidP="007C16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556D"/>
    <w:multiLevelType w:val="multilevel"/>
    <w:tmpl w:val="D910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A1A"/>
    <w:multiLevelType w:val="multilevel"/>
    <w:tmpl w:val="35CA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B52F0"/>
    <w:multiLevelType w:val="multilevel"/>
    <w:tmpl w:val="0A50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B1398"/>
    <w:multiLevelType w:val="hybridMultilevel"/>
    <w:tmpl w:val="2EA860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31E7"/>
    <w:multiLevelType w:val="multilevel"/>
    <w:tmpl w:val="46D6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73A48"/>
    <w:multiLevelType w:val="multilevel"/>
    <w:tmpl w:val="1FAC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12D24"/>
    <w:multiLevelType w:val="hybridMultilevel"/>
    <w:tmpl w:val="6FC42F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115BF"/>
    <w:multiLevelType w:val="multilevel"/>
    <w:tmpl w:val="E50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D3533"/>
    <w:multiLevelType w:val="multilevel"/>
    <w:tmpl w:val="6520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B1543"/>
    <w:multiLevelType w:val="multilevel"/>
    <w:tmpl w:val="DA70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155EF"/>
    <w:multiLevelType w:val="multilevel"/>
    <w:tmpl w:val="13B8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30916"/>
    <w:multiLevelType w:val="multilevel"/>
    <w:tmpl w:val="968C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64743"/>
    <w:multiLevelType w:val="multilevel"/>
    <w:tmpl w:val="5136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7370A"/>
    <w:multiLevelType w:val="multilevel"/>
    <w:tmpl w:val="747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07403"/>
    <w:multiLevelType w:val="multilevel"/>
    <w:tmpl w:val="C05E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46B4F"/>
    <w:multiLevelType w:val="multilevel"/>
    <w:tmpl w:val="074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90ACE"/>
    <w:multiLevelType w:val="multilevel"/>
    <w:tmpl w:val="6BFC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A610A"/>
    <w:multiLevelType w:val="multilevel"/>
    <w:tmpl w:val="1472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96CB7"/>
    <w:multiLevelType w:val="multilevel"/>
    <w:tmpl w:val="D25A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221E4"/>
    <w:multiLevelType w:val="multilevel"/>
    <w:tmpl w:val="DB4E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403AE"/>
    <w:multiLevelType w:val="multilevel"/>
    <w:tmpl w:val="8EFC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558D8"/>
    <w:multiLevelType w:val="multilevel"/>
    <w:tmpl w:val="51DC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05085"/>
    <w:multiLevelType w:val="multilevel"/>
    <w:tmpl w:val="9F38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492031">
    <w:abstractNumId w:val="16"/>
  </w:num>
  <w:num w:numId="2" w16cid:durableId="18549377">
    <w:abstractNumId w:val="2"/>
  </w:num>
  <w:num w:numId="3" w16cid:durableId="592972992">
    <w:abstractNumId w:val="11"/>
  </w:num>
  <w:num w:numId="4" w16cid:durableId="667637882">
    <w:abstractNumId w:val="17"/>
  </w:num>
  <w:num w:numId="5" w16cid:durableId="167598306">
    <w:abstractNumId w:val="7"/>
  </w:num>
  <w:num w:numId="6" w16cid:durableId="701056655">
    <w:abstractNumId w:val="4"/>
  </w:num>
  <w:num w:numId="7" w16cid:durableId="855382877">
    <w:abstractNumId w:val="14"/>
  </w:num>
  <w:num w:numId="8" w16cid:durableId="348331740">
    <w:abstractNumId w:val="20"/>
  </w:num>
  <w:num w:numId="9" w16cid:durableId="1469929518">
    <w:abstractNumId w:val="5"/>
  </w:num>
  <w:num w:numId="10" w16cid:durableId="1229455413">
    <w:abstractNumId w:val="12"/>
  </w:num>
  <w:num w:numId="11" w16cid:durableId="520895288">
    <w:abstractNumId w:val="8"/>
  </w:num>
  <w:num w:numId="12" w16cid:durableId="2106221270">
    <w:abstractNumId w:val="10"/>
  </w:num>
  <w:num w:numId="13" w16cid:durableId="1636910314">
    <w:abstractNumId w:val="18"/>
  </w:num>
  <w:num w:numId="14" w16cid:durableId="670185759">
    <w:abstractNumId w:val="21"/>
  </w:num>
  <w:num w:numId="15" w16cid:durableId="166141516">
    <w:abstractNumId w:val="9"/>
  </w:num>
  <w:num w:numId="16" w16cid:durableId="1203207785">
    <w:abstractNumId w:val="0"/>
  </w:num>
  <w:num w:numId="17" w16cid:durableId="706755451">
    <w:abstractNumId w:val="3"/>
  </w:num>
  <w:num w:numId="18" w16cid:durableId="336201157">
    <w:abstractNumId w:val="6"/>
  </w:num>
  <w:num w:numId="19" w16cid:durableId="27798580">
    <w:abstractNumId w:val="15"/>
  </w:num>
  <w:num w:numId="20" w16cid:durableId="486097222">
    <w:abstractNumId w:val="22"/>
  </w:num>
  <w:num w:numId="21" w16cid:durableId="1137337086">
    <w:abstractNumId w:val="19"/>
  </w:num>
  <w:num w:numId="22" w16cid:durableId="1129054946">
    <w:abstractNumId w:val="1"/>
  </w:num>
  <w:num w:numId="23" w16cid:durableId="12240229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75"/>
    <w:rsid w:val="000501EA"/>
    <w:rsid w:val="0014291A"/>
    <w:rsid w:val="00272F5C"/>
    <w:rsid w:val="003D447C"/>
    <w:rsid w:val="005240CB"/>
    <w:rsid w:val="006014B6"/>
    <w:rsid w:val="00671B72"/>
    <w:rsid w:val="006A42D2"/>
    <w:rsid w:val="007C16BA"/>
    <w:rsid w:val="0092588C"/>
    <w:rsid w:val="00AF0DB1"/>
    <w:rsid w:val="00BA0745"/>
    <w:rsid w:val="00CB1575"/>
    <w:rsid w:val="00CC6B6B"/>
    <w:rsid w:val="00EA12D1"/>
    <w:rsid w:val="00EA74E6"/>
    <w:rsid w:val="00EC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9F2DE"/>
  <w15:chartTrackingRefBased/>
  <w15:docId w15:val="{BA176C12-0419-42ED-9AF7-D9C4C435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B1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B1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B1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B1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B1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B1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B1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B1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B1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B1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B1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B1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B157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B157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B157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B157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B157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B157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B1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B1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B1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B1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B1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B157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B157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B157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B1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B157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B1575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925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</w:rPr>
  </w:style>
  <w:style w:type="character" w:customStyle="1" w:styleId="citation-100">
    <w:name w:val="citation-100"/>
    <w:basedOn w:val="Bekezdsalapbettpusa"/>
    <w:rsid w:val="0092588C"/>
  </w:style>
  <w:style w:type="character" w:customStyle="1" w:styleId="citation-99">
    <w:name w:val="citation-99"/>
    <w:basedOn w:val="Bekezdsalapbettpusa"/>
    <w:rsid w:val="0092588C"/>
  </w:style>
  <w:style w:type="character" w:customStyle="1" w:styleId="citation-98">
    <w:name w:val="citation-98"/>
    <w:basedOn w:val="Bekezdsalapbettpusa"/>
    <w:rsid w:val="0092588C"/>
  </w:style>
  <w:style w:type="character" w:customStyle="1" w:styleId="citation-97">
    <w:name w:val="citation-97"/>
    <w:basedOn w:val="Bekezdsalapbettpusa"/>
    <w:rsid w:val="0092588C"/>
  </w:style>
  <w:style w:type="character" w:customStyle="1" w:styleId="citation-96">
    <w:name w:val="citation-96"/>
    <w:basedOn w:val="Bekezdsalapbettpusa"/>
    <w:rsid w:val="0092588C"/>
  </w:style>
  <w:style w:type="character" w:customStyle="1" w:styleId="citation-95">
    <w:name w:val="citation-95"/>
    <w:basedOn w:val="Bekezdsalapbettpusa"/>
    <w:rsid w:val="0092588C"/>
  </w:style>
  <w:style w:type="character" w:customStyle="1" w:styleId="citation-94">
    <w:name w:val="citation-94"/>
    <w:basedOn w:val="Bekezdsalapbettpusa"/>
    <w:rsid w:val="0092588C"/>
  </w:style>
  <w:style w:type="character" w:customStyle="1" w:styleId="citation-93">
    <w:name w:val="citation-93"/>
    <w:basedOn w:val="Bekezdsalapbettpusa"/>
    <w:rsid w:val="0092588C"/>
  </w:style>
  <w:style w:type="character" w:customStyle="1" w:styleId="citation-92">
    <w:name w:val="citation-92"/>
    <w:basedOn w:val="Bekezdsalapbettpusa"/>
    <w:rsid w:val="0092588C"/>
  </w:style>
  <w:style w:type="character" w:customStyle="1" w:styleId="citation-91">
    <w:name w:val="citation-91"/>
    <w:basedOn w:val="Bekezdsalapbettpusa"/>
    <w:rsid w:val="0092588C"/>
  </w:style>
  <w:style w:type="character" w:customStyle="1" w:styleId="citation-90">
    <w:name w:val="citation-90"/>
    <w:basedOn w:val="Bekezdsalapbettpusa"/>
    <w:rsid w:val="0092588C"/>
  </w:style>
  <w:style w:type="character" w:customStyle="1" w:styleId="citation-89">
    <w:name w:val="citation-89"/>
    <w:basedOn w:val="Bekezdsalapbettpusa"/>
    <w:rsid w:val="0092588C"/>
  </w:style>
  <w:style w:type="character" w:customStyle="1" w:styleId="citation-88">
    <w:name w:val="citation-88"/>
    <w:basedOn w:val="Bekezdsalapbettpusa"/>
    <w:rsid w:val="0092588C"/>
  </w:style>
  <w:style w:type="paragraph" w:styleId="lfej">
    <w:name w:val="header"/>
    <w:basedOn w:val="Norml"/>
    <w:link w:val="lfejChar"/>
    <w:uiPriority w:val="99"/>
    <w:unhideWhenUsed/>
    <w:rsid w:val="007C16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C16BA"/>
  </w:style>
  <w:style w:type="paragraph" w:styleId="llb">
    <w:name w:val="footer"/>
    <w:basedOn w:val="Norml"/>
    <w:link w:val="llbChar"/>
    <w:uiPriority w:val="99"/>
    <w:unhideWhenUsed/>
    <w:rsid w:val="007C16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C1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1534</Words>
  <Characters>10586</Characters>
  <Application>Microsoft Office Word</Application>
  <DocSecurity>0</DocSecurity>
  <Lines>88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2</cp:revision>
  <dcterms:created xsi:type="dcterms:W3CDTF">2026-01-17T00:54:00Z</dcterms:created>
  <dcterms:modified xsi:type="dcterms:W3CDTF">2026-01-17T01:28:00Z</dcterms:modified>
</cp:coreProperties>
</file>