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448AB" w14:textId="38707830" w:rsidR="00195DC0" w:rsidRPr="00A22293" w:rsidRDefault="00E7377F" w:rsidP="00E7377F">
      <w:pPr>
        <w:pStyle w:val="Cmsor1"/>
        <w:jc w:val="center"/>
        <w:rPr>
          <w:rFonts w:ascii="Times New Roman" w:hAnsi="Times New Roman" w:cs="Times New Roman"/>
          <w:b/>
          <w:bCs/>
          <w:sz w:val="28"/>
          <w:szCs w:val="28"/>
        </w:rPr>
      </w:pPr>
      <w:bookmarkStart w:id="0" w:name="header"/>
      <w:bookmarkStart w:id="1" w:name="X24d91504c324073a4ef471bc2c50dc9f1ceafb1"/>
      <w:bookmarkStart w:id="2" w:name="content"/>
      <w:bookmarkEnd w:id="0"/>
      <w:r>
        <w:rPr>
          <w:rFonts w:ascii="Times New Roman" w:hAnsi="Times New Roman" w:cs="Times New Roman"/>
          <w:b/>
          <w:bCs/>
          <w:sz w:val="28"/>
          <w:szCs w:val="28"/>
        </w:rPr>
        <w:t xml:space="preserve">2B </w:t>
      </w:r>
      <w:r w:rsidR="00A22293" w:rsidRPr="00A22293">
        <w:rPr>
          <w:rFonts w:ascii="Times New Roman" w:hAnsi="Times New Roman" w:cs="Times New Roman"/>
          <w:b/>
          <w:bCs/>
          <w:sz w:val="28"/>
          <w:szCs w:val="28"/>
        </w:rPr>
        <w:t xml:space="preserve">Az antimikrobiális rezisztencia globális jelentősége és a </w:t>
      </w:r>
      <w:proofErr w:type="spellStart"/>
      <w:r w:rsidR="00A22293" w:rsidRPr="00A22293">
        <w:rPr>
          <w:rFonts w:ascii="Times New Roman" w:hAnsi="Times New Roman" w:cs="Times New Roman"/>
          <w:b/>
          <w:bCs/>
          <w:sz w:val="28"/>
          <w:szCs w:val="28"/>
        </w:rPr>
        <w:t>One</w:t>
      </w:r>
      <w:proofErr w:type="spellEnd"/>
      <w:r w:rsidR="00A22293" w:rsidRPr="00A22293">
        <w:rPr>
          <w:rFonts w:ascii="Times New Roman" w:hAnsi="Times New Roman" w:cs="Times New Roman"/>
          <w:b/>
          <w:bCs/>
          <w:sz w:val="28"/>
          <w:szCs w:val="28"/>
        </w:rPr>
        <w:t xml:space="preserve"> Health megközelítés</w:t>
      </w:r>
    </w:p>
    <w:p w14:paraId="1004A483" w14:textId="77777777" w:rsidR="00195DC0" w:rsidRPr="00A22293" w:rsidRDefault="00A22293" w:rsidP="00A22293">
      <w:pPr>
        <w:pStyle w:val="FirstParagraph"/>
        <w:jc w:val="both"/>
        <w:rPr>
          <w:rFonts w:ascii="Times New Roman" w:hAnsi="Times New Roman" w:cs="Times New Roman"/>
        </w:rPr>
      </w:pPr>
      <w:r w:rsidRPr="00A22293">
        <w:rPr>
          <w:rFonts w:ascii="Times New Roman" w:hAnsi="Times New Roman" w:cs="Times New Roman"/>
        </w:rPr>
        <w:t>Az antimikrobiális szerek – különösen az antibiotikumok – felfedezése a 20. században forradalmasította az orvoslást és az állatgyógyászatot. Számtalan, korábban halálos fertőző betegséget tettek kezelhetővé, jelentősen javítva az emberek és állatok túlélési esélyeit. Az utóbbi évtizedekben azonban az antimikrobiális rezisztencia (AMR) a világ egyik legsúlyosabb egészségügyi kihívásává vált: egyre több kórokozó válik ellenállóvá a kezelésükre használt szerekkel szemben. Ez a jelenség veszélyezteti az orvostudomány és az állatorvos-tudomány eredményeit, hiszen ismét felbukkanhatnak nehezen kezelhető vagy gyógyíthatatlan fertőzések. Mivel a rezisztens mikrobák emberek, állatok és a környezet között is terjedhetnek, a probléma kezelése komplex, globális szemléletet igényel. Erre kínál megoldást az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(Egy Egészség) megközelítés, amely az emberi, állati és környezeti egészség egységében, együttműködésben keresi az AMR elleni küzdelem stratégiáit.</w:t>
      </w:r>
    </w:p>
    <w:p w14:paraId="1D27E7A5" w14:textId="77777777" w:rsidR="00195DC0" w:rsidRPr="00A22293" w:rsidRDefault="00A22293" w:rsidP="00A22293">
      <w:pPr>
        <w:pStyle w:val="Cmsor2"/>
        <w:jc w:val="both"/>
        <w:rPr>
          <w:rFonts w:ascii="Times New Roman" w:hAnsi="Times New Roman" w:cs="Times New Roman"/>
        </w:rPr>
      </w:pPr>
      <w:bookmarkStart w:id="3" w:name="X8beae3394405f18867858c656c6e2aa4ea88016"/>
      <w:r w:rsidRPr="0089725E">
        <w:rPr>
          <w:rFonts w:ascii="Times New Roman" w:hAnsi="Times New Roman" w:cs="Times New Roman"/>
          <w:sz w:val="24"/>
          <w:szCs w:val="24"/>
        </w:rPr>
        <w:t>Az antimikrobiális rezisztencia fogalma és kialakulásának mechanizmusai</w:t>
      </w:r>
    </w:p>
    <w:p w14:paraId="1EEE654F" w14:textId="77777777" w:rsidR="00195DC0" w:rsidRPr="00A22293" w:rsidRDefault="00A22293" w:rsidP="00A22293">
      <w:pPr>
        <w:pStyle w:val="FirstParagraph"/>
        <w:jc w:val="both"/>
        <w:rPr>
          <w:rFonts w:ascii="Times New Roman" w:hAnsi="Times New Roman" w:cs="Times New Roman"/>
        </w:rPr>
      </w:pPr>
      <w:r w:rsidRPr="00A22293">
        <w:rPr>
          <w:rFonts w:ascii="Times New Roman" w:hAnsi="Times New Roman" w:cs="Times New Roman"/>
        </w:rPr>
        <w:t>Az antimikrobiális rezisztencia azt jelenti, hogy egy mikroorganizmus – például egy baktérium – képes túlélni és szaporodni egy olyan antimikrobiális szer (antibiotikum, vírusellenes, gombaellenes vagy parazitaellenes gyógyszer) jelenlétében is, amely normálisan elpusztítaná vagy gátolná azt. A rezisztencia lehet veleszületett (</w:t>
      </w:r>
      <w:proofErr w:type="spellStart"/>
      <w:r w:rsidRPr="00A22293">
        <w:rPr>
          <w:rFonts w:ascii="Times New Roman" w:hAnsi="Times New Roman" w:cs="Times New Roman"/>
        </w:rPr>
        <w:t>intrinsic</w:t>
      </w:r>
      <w:proofErr w:type="spellEnd"/>
      <w:r w:rsidRPr="00A22293">
        <w:rPr>
          <w:rFonts w:ascii="Times New Roman" w:hAnsi="Times New Roman" w:cs="Times New Roman"/>
        </w:rPr>
        <w:t>) tulajdonság bizonyos mikrobákban, de gyakran szerzett rezisztenciáról beszélünk, amikor egy kórokozó eredetileg érzékeny volt egy adott szerre, majd genetikai változások révén ellenállóvá válik.</w:t>
      </w:r>
    </w:p>
    <w:p w14:paraId="3AB13C4D"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A rezisztencia kialakulásának mechanizmusai két fő csoportra oszthatók. Egyrészt létrejöhetnek spontán mutációk a mikroba örökítőanyagában, amelyek megváltoztatják a célmolekulát vagy az anyagcsere-folyamatot úgy, hogy az antimikrobiális szer többé nem hatékony (például mutációk az antibiotikum kötőhelyén vagy a sejtfal átjárhatóságát csökkentő változások). Másrészt a mikrobák egymás között is “átadhatják” a rezisztencia tulajdonságot genetikai elemek közvetítésével – ezt nevezzük horizontális génátvitelnek. Ilyenkor egy baktérium egy másik baktériumtól rezisztenciagéneket szerez meg, például </w:t>
      </w:r>
      <w:proofErr w:type="spellStart"/>
      <w:r w:rsidRPr="00A22293">
        <w:rPr>
          <w:rFonts w:ascii="Times New Roman" w:hAnsi="Times New Roman" w:cs="Times New Roman"/>
        </w:rPr>
        <w:t>plazmidok</w:t>
      </w:r>
      <w:proofErr w:type="spellEnd"/>
      <w:r w:rsidRPr="00A22293">
        <w:rPr>
          <w:rFonts w:ascii="Times New Roman" w:hAnsi="Times New Roman" w:cs="Times New Roman"/>
        </w:rPr>
        <w:t xml:space="preserve"> útján (konjugáció), vírusok közvetítésével (</w:t>
      </w:r>
      <w:proofErr w:type="spellStart"/>
      <w:r w:rsidRPr="00A22293">
        <w:rPr>
          <w:rFonts w:ascii="Times New Roman" w:hAnsi="Times New Roman" w:cs="Times New Roman"/>
        </w:rPr>
        <w:t>transzdukció</w:t>
      </w:r>
      <w:proofErr w:type="spellEnd"/>
      <w:r w:rsidRPr="00A22293">
        <w:rPr>
          <w:rFonts w:ascii="Times New Roman" w:hAnsi="Times New Roman" w:cs="Times New Roman"/>
        </w:rPr>
        <w:t>) vagy a környezetből származó szabad DNS felvételével (transzformáció). Az így megszerzett gének gyakran olyan fehérjéket kódolnak, amelyek semlegesítik az antimikrobiális szert (például enzimek bontják le az antibiotikumot), módosítják annak támadáspontját, vagy segítik a szer kiürítését a sejtből (</w:t>
      </w:r>
      <w:proofErr w:type="spellStart"/>
      <w:r w:rsidRPr="00A22293">
        <w:rPr>
          <w:rFonts w:ascii="Times New Roman" w:hAnsi="Times New Roman" w:cs="Times New Roman"/>
        </w:rPr>
        <w:t>efflux</w:t>
      </w:r>
      <w:proofErr w:type="spellEnd"/>
      <w:r w:rsidRPr="00A22293">
        <w:rPr>
          <w:rFonts w:ascii="Times New Roman" w:hAnsi="Times New Roman" w:cs="Times New Roman"/>
        </w:rPr>
        <w:t xml:space="preserve"> pumpák). Ennek eredményeként a korábban hatékony kezelés hatástalanná válik az adott rezisztens kórokozóval szemben.</w:t>
      </w:r>
    </w:p>
    <w:p w14:paraId="3C631D15"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Minél többféle rezisztenciamechanizmust hordoz egy kórokozó, annál nehezebb azt elpusztítani. A klinikai gyakorlatban egyre gyakoribbak az úgynevezett multirezisztens törzsek, amelyek több, különböző hatású antimikrobiális szernek is ellenállnak. Súlyos esetben kialakulhatnak olyan “szuperbaktériumok” is, amelyek szinte az összes rendelkezésre álló antibiotikummal szemben rezisztensek, így fertőzésük gyakorlatilag kezelhetetlenné válhat.</w:t>
      </w:r>
    </w:p>
    <w:p w14:paraId="415F7091" w14:textId="77777777" w:rsidR="00195DC0" w:rsidRPr="00A22293" w:rsidRDefault="00A22293" w:rsidP="00A22293">
      <w:pPr>
        <w:pStyle w:val="Cmsor2"/>
        <w:jc w:val="both"/>
        <w:rPr>
          <w:rFonts w:ascii="Times New Roman" w:hAnsi="Times New Roman" w:cs="Times New Roman"/>
        </w:rPr>
      </w:pPr>
      <w:bookmarkStart w:id="4" w:name="Xf9f8365191fa69da3ffe3970b0963b9d96ceb05"/>
      <w:bookmarkEnd w:id="3"/>
      <w:r w:rsidRPr="0089725E">
        <w:rPr>
          <w:rFonts w:ascii="Times New Roman" w:hAnsi="Times New Roman" w:cs="Times New Roman"/>
          <w:sz w:val="24"/>
          <w:szCs w:val="24"/>
        </w:rPr>
        <w:lastRenderedPageBreak/>
        <w:t>Az AMR globális egészségügyi és állategészségügyi következményei</w:t>
      </w:r>
    </w:p>
    <w:p w14:paraId="056E3E86" w14:textId="77777777" w:rsidR="00195DC0" w:rsidRPr="00A22293" w:rsidRDefault="00A22293" w:rsidP="00A22293">
      <w:pPr>
        <w:pStyle w:val="FirstParagraph"/>
        <w:jc w:val="both"/>
        <w:rPr>
          <w:rFonts w:ascii="Times New Roman" w:hAnsi="Times New Roman" w:cs="Times New Roman"/>
        </w:rPr>
      </w:pPr>
      <w:r w:rsidRPr="00A22293">
        <w:rPr>
          <w:rFonts w:ascii="Times New Roman" w:hAnsi="Times New Roman" w:cs="Times New Roman"/>
        </w:rPr>
        <w:t xml:space="preserve">Az antimikrobiális rezisztencia napjainkra kézzelfogható veszéllyé vált mind az emberi, mind az állati egészség számára. Rezisztens kórokozók fertőzései miatt világszerte már jelenleg is évente több százezer – egy friss becslés szerint 2019-ben több mint 1,2 millió – ember hal meg, többen, mint például a HIV/AIDS vagy a malária következtében. Az Európai Unióban több tízezer haláleset írható évente az antibiotikum-rezisztens bakteriális fertőzések számlájára, és a kórházi kezelések meghosszabbodása, illetve a drágább gyógyszerek használata súlyos </w:t>
      </w:r>
      <w:proofErr w:type="spellStart"/>
      <w:r w:rsidRPr="00A22293">
        <w:rPr>
          <w:rFonts w:ascii="Times New Roman" w:hAnsi="Times New Roman" w:cs="Times New Roman"/>
        </w:rPr>
        <w:t>terheket</w:t>
      </w:r>
      <w:proofErr w:type="spellEnd"/>
      <w:r w:rsidRPr="00A22293">
        <w:rPr>
          <w:rFonts w:ascii="Times New Roman" w:hAnsi="Times New Roman" w:cs="Times New Roman"/>
        </w:rPr>
        <w:t xml:space="preserve"> ró az egészségügyre. A szakértők arra figyelmeztetnek, hogy ha nem sikerül megfékezni a folyamatot, 2050-re az AMR évente akár 10 millió emberéletet követelhet világszerte – ezzel több áldozatot szedne, mint napjainkban a daganatos betegségek. A kezelhetetlen fertőzések új korszaka fenyeget, amely az orvostudomány „antibiotikum előtti” időszakát idézheti vissza: ismét halálos kimenetelűvé válhatnak olyan mindennapi fertőzések, mint egy tüdőgyulladás vagy egy sérülés elfertőződése.</w:t>
      </w:r>
    </w:p>
    <w:p w14:paraId="716157F8"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Az AMR nemcsak közegészségügyi válság, hanem gazdasági problémát is jelent. A rezisztens fertőzések miatti többlet-egészségügyi költségek és a munkaképtelenségből fakadó termelékenységcsökkenés milliárdos nagyságrendű kiadásokat jelentenek. Az OECD becslései szerint az antibiotikum-rezisztencia az EU országaiban évente több mint 10 milliárd euró többletkiadást okoz az egészségügyben és a gazdaságban. Globálisan nézve a kontrollálatlan AMR a következő évtizedekben jelentősen visszavetheti a gazdasági fejlődést is, a Világbank elemzése szerint akár a 2008-as gazdasági világválsághoz mérhető károkat előidézve.</w:t>
      </w:r>
    </w:p>
    <w:p w14:paraId="3E78B543"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Az állategészségügy területén szintén súlyosak a következmények. A gazdasági haszonállatokban fellépő bakteriális betegségek gyógykezelése egyre nehezebbé válik, amint a kórokozók rezisztenssé válnak az állatorvosi antibiotikumokkal szemben. Ez állomány-szintű járványkitörésekhez vezethet, amelyekben jelentős állatlétszám-veszteség és termeléskiesés következik be. Az élelmiszertermelő állatokban jelen lévő rezisztens baktériumok (pl. Salmonella, </w:t>
      </w:r>
      <w:proofErr w:type="spellStart"/>
      <w:r w:rsidRPr="00A22293">
        <w:rPr>
          <w:rFonts w:ascii="Times New Roman" w:hAnsi="Times New Roman" w:cs="Times New Roman"/>
        </w:rPr>
        <w:t>Campylobacter</w:t>
      </w:r>
      <w:proofErr w:type="spellEnd"/>
      <w:r w:rsidRPr="00A22293">
        <w:rPr>
          <w:rFonts w:ascii="Times New Roman" w:hAnsi="Times New Roman" w:cs="Times New Roman"/>
        </w:rPr>
        <w:t xml:space="preserve"> törzsek) a feldolgozás során vagy a táplálékláncon keresztül az emberre is átjuthatnak, nehezen kezelhető élelmiszer-eredetű megbetegedéseket okozva. Mindez veszélybe sodorja az élelmiszerbiztonságot és az ellátásbiztonságot. Az állatorvosi gyakorlatban is előfordulnak már olyan kórokozók, amelyek egykor jól reagáltak a terápiára, ma viszont alig van hatékony szer ellenük, veszélyeztetve az állatok jólétét. Az állattartók számára a rezisztencia gazdasági kárt (például csökkent súlygyarapodást, elhullást, drágább kezeléseket) is jelent. Ráadásul számos rezisztens kórokozó </w:t>
      </w:r>
      <w:proofErr w:type="spellStart"/>
      <w:r w:rsidRPr="00A22293">
        <w:rPr>
          <w:rFonts w:ascii="Times New Roman" w:hAnsi="Times New Roman" w:cs="Times New Roman"/>
        </w:rPr>
        <w:t>zoonotikus</w:t>
      </w:r>
      <w:proofErr w:type="spellEnd"/>
      <w:r w:rsidRPr="00A22293">
        <w:rPr>
          <w:rFonts w:ascii="Times New Roman" w:hAnsi="Times New Roman" w:cs="Times New Roman"/>
        </w:rPr>
        <w:t>, vagyis állatról emberre terjedhet: például a haszonállatokban vagy kedvtelésből tartott állatokban kialakuló MRSA-fertőzések az állatok gondozóira is átterjedhetnek. Így az AMR humán és állatgyógyászati vonatkozásai szorosan összefonódnak.</w:t>
      </w:r>
    </w:p>
    <w:p w14:paraId="37CEA208"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Összességében az antimikrobiális rezisztencia globális fenyegetést jelent: veszélyezteti a modern orvosi beavatkozások sikerét, aláássa a fertőző betegségek feletti kontrollt, és komoly társadalmi-gazdasági visszalépéssel fenyeget. Az ilyen horderejű probléma kezeléséhez nélkülözhetetlen a nemzetközi összefogás és az integrált megközelítés.</w:t>
      </w:r>
    </w:p>
    <w:p w14:paraId="0D2AECD1" w14:textId="77777777" w:rsidR="00195DC0" w:rsidRPr="0089725E" w:rsidRDefault="00A22293" w:rsidP="00A22293">
      <w:pPr>
        <w:pStyle w:val="Cmsor2"/>
        <w:jc w:val="both"/>
        <w:rPr>
          <w:rFonts w:ascii="Times New Roman" w:hAnsi="Times New Roman" w:cs="Times New Roman"/>
          <w:sz w:val="24"/>
          <w:szCs w:val="24"/>
        </w:rPr>
      </w:pPr>
      <w:bookmarkStart w:id="5" w:name="Xe3521feb3499be24bfb867a03fc112d14681dfb"/>
      <w:bookmarkEnd w:id="4"/>
      <w:r w:rsidRPr="0089725E">
        <w:rPr>
          <w:rFonts w:ascii="Times New Roman" w:hAnsi="Times New Roman" w:cs="Times New Roman"/>
          <w:sz w:val="24"/>
          <w:szCs w:val="24"/>
        </w:rPr>
        <w:t xml:space="preserve">Környezeti </w:t>
      </w:r>
      <w:proofErr w:type="spellStart"/>
      <w:r w:rsidRPr="0089725E">
        <w:rPr>
          <w:rFonts w:ascii="Times New Roman" w:hAnsi="Times New Roman" w:cs="Times New Roman"/>
          <w:sz w:val="24"/>
          <w:szCs w:val="24"/>
        </w:rPr>
        <w:t>rezisztom</w:t>
      </w:r>
      <w:proofErr w:type="spellEnd"/>
      <w:r w:rsidRPr="0089725E">
        <w:rPr>
          <w:rFonts w:ascii="Times New Roman" w:hAnsi="Times New Roman" w:cs="Times New Roman"/>
          <w:sz w:val="24"/>
          <w:szCs w:val="24"/>
        </w:rPr>
        <w:t xml:space="preserve"> és a horizontális géntranszfer szerepe</w:t>
      </w:r>
    </w:p>
    <w:p w14:paraId="42CBD495" w14:textId="77777777" w:rsidR="00195DC0" w:rsidRPr="00A22293" w:rsidRDefault="00A22293" w:rsidP="00A22293">
      <w:pPr>
        <w:pStyle w:val="FirstParagraph"/>
        <w:jc w:val="both"/>
        <w:rPr>
          <w:rFonts w:ascii="Times New Roman" w:hAnsi="Times New Roman" w:cs="Times New Roman"/>
        </w:rPr>
      </w:pPr>
      <w:r w:rsidRPr="00A22293">
        <w:rPr>
          <w:rFonts w:ascii="Times New Roman" w:hAnsi="Times New Roman" w:cs="Times New Roman"/>
        </w:rPr>
        <w:t>A környezetben jelen lévő hatalmas mikrobiális közösségek – talajban, vizekben, vadon élő élőlényekben – mind hozzájárulnak az úgynevezett “</w:t>
      </w:r>
      <w:proofErr w:type="spellStart"/>
      <w:r w:rsidRPr="00A22293">
        <w:rPr>
          <w:rFonts w:ascii="Times New Roman" w:hAnsi="Times New Roman" w:cs="Times New Roman"/>
        </w:rPr>
        <w:t>rezisztom</w:t>
      </w:r>
      <w:proofErr w:type="spellEnd"/>
      <w:r w:rsidRPr="00A22293">
        <w:rPr>
          <w:rFonts w:ascii="Times New Roman" w:hAnsi="Times New Roman" w:cs="Times New Roman"/>
        </w:rPr>
        <w:t xml:space="preserve">” kialakulásához. A </w:t>
      </w:r>
      <w:proofErr w:type="spellStart"/>
      <w:r w:rsidRPr="00A22293">
        <w:rPr>
          <w:rFonts w:ascii="Times New Roman" w:hAnsi="Times New Roman" w:cs="Times New Roman"/>
        </w:rPr>
        <w:t>rezisztom</w:t>
      </w:r>
      <w:proofErr w:type="spellEnd"/>
      <w:r w:rsidRPr="00A22293">
        <w:rPr>
          <w:rFonts w:ascii="Times New Roman" w:hAnsi="Times New Roman" w:cs="Times New Roman"/>
        </w:rPr>
        <w:t xml:space="preserve"> alatt azt a teljes genetikai készletet értjük, amely az összes antibiotikum-rezisztencia gént magában foglalja. Fontos tudni, hogy az antibiotikumok nem kizárólag az ember által előállított anyagok: </w:t>
      </w:r>
      <w:r w:rsidRPr="00A22293">
        <w:rPr>
          <w:rFonts w:ascii="Times New Roman" w:hAnsi="Times New Roman" w:cs="Times New Roman"/>
        </w:rPr>
        <w:lastRenderedPageBreak/>
        <w:t>számos talajlakó baktérium és gomba termel természetes antibiotikumokat, és az ellenük való védekezésként más mikrobákban már évmilliók óta kifejlődtek rezisztenciamechanizmusok. Vagyis a környezet eleve rengeteg “alvó” rezisztenciagént tartalmaz. Az emberi tevékenység – a nagy mennyiségű antibiotikum alkalmazása – azonban drámai módon felgyorsította e gének terjedését és mobilizációját. A modern környezetben a rezisztencia gének és a hordozó baktériumok soha nem látott mértékben keveredhetnek egymással.</w:t>
      </w:r>
    </w:p>
    <w:p w14:paraId="20A73CFC"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A horizontális géntranszfer kulcsszerepet játszik abban, hogy a környezetben jelenlévő rezisztenciagének eljutnak az emberekhez és állatokhoz közel álló kórokozókba. A mobilis genetikai elemek – </w:t>
      </w:r>
      <w:proofErr w:type="spellStart"/>
      <w:r w:rsidRPr="00A22293">
        <w:rPr>
          <w:rFonts w:ascii="Times New Roman" w:hAnsi="Times New Roman" w:cs="Times New Roman"/>
        </w:rPr>
        <w:t>plazmidok</w:t>
      </w:r>
      <w:proofErr w:type="spellEnd"/>
      <w:r w:rsidRPr="00A22293">
        <w:rPr>
          <w:rFonts w:ascii="Times New Roman" w:hAnsi="Times New Roman" w:cs="Times New Roman"/>
        </w:rPr>
        <w:t xml:space="preserve">, </w:t>
      </w:r>
      <w:proofErr w:type="spellStart"/>
      <w:r w:rsidRPr="00A22293">
        <w:rPr>
          <w:rFonts w:ascii="Times New Roman" w:hAnsi="Times New Roman" w:cs="Times New Roman"/>
        </w:rPr>
        <w:t>transzpozonok</w:t>
      </w:r>
      <w:proofErr w:type="spellEnd"/>
      <w:r w:rsidRPr="00A22293">
        <w:rPr>
          <w:rFonts w:ascii="Times New Roman" w:hAnsi="Times New Roman" w:cs="Times New Roman"/>
        </w:rPr>
        <w:t xml:space="preserve">, </w:t>
      </w:r>
      <w:proofErr w:type="spellStart"/>
      <w:r w:rsidRPr="00A22293">
        <w:rPr>
          <w:rFonts w:ascii="Times New Roman" w:hAnsi="Times New Roman" w:cs="Times New Roman"/>
        </w:rPr>
        <w:t>integronok</w:t>
      </w:r>
      <w:proofErr w:type="spellEnd"/>
      <w:r w:rsidRPr="00A22293">
        <w:rPr>
          <w:rFonts w:ascii="Times New Roman" w:hAnsi="Times New Roman" w:cs="Times New Roman"/>
        </w:rPr>
        <w:t xml:space="preserve"> – közvetítésével a rezisztenciát kódoló DNS darabok akár egymástól távoli baktériumfajok között is “ugrálhatnak”. Ennek következtében egy ártalmatlan talajbaktériumban kifejlődött rezisztenciagén idővel megjelenhet egy humán </w:t>
      </w:r>
      <w:proofErr w:type="spellStart"/>
      <w:r w:rsidRPr="00A22293">
        <w:rPr>
          <w:rFonts w:ascii="Times New Roman" w:hAnsi="Times New Roman" w:cs="Times New Roman"/>
        </w:rPr>
        <w:t>patogénben</w:t>
      </w:r>
      <w:proofErr w:type="spellEnd"/>
      <w:r w:rsidRPr="00A22293">
        <w:rPr>
          <w:rFonts w:ascii="Times New Roman" w:hAnsi="Times New Roman" w:cs="Times New Roman"/>
        </w:rPr>
        <w:t xml:space="preserve"> is, ha a körülmények (pl. antibiotikum jelenléte) szelektív előnyt biztosítanak a gén hordozásának. Például ismertek olyan esetek, amikor egy antibiotikumokat lebontó enzim génje – amelyet eredetileg talajmikrobákban azonosítottak – később súlyos kórházi fertőzéseket okozó baktériumokban tűnt fel. Az </w:t>
      </w:r>
      <w:proofErr w:type="spellStart"/>
      <w:r w:rsidRPr="00A22293">
        <w:rPr>
          <w:rFonts w:ascii="Times New Roman" w:hAnsi="Times New Roman" w:cs="Times New Roman"/>
        </w:rPr>
        <w:t>integronok</w:t>
      </w:r>
      <w:proofErr w:type="spellEnd"/>
      <w:r w:rsidRPr="00A22293">
        <w:rPr>
          <w:rFonts w:ascii="Times New Roman" w:hAnsi="Times New Roman" w:cs="Times New Roman"/>
        </w:rPr>
        <w:t xml:space="preserve"> nevű genetikai elemek segítségével a baktériumok több rezisztenciagént is “csomagban” tudnak átadni, ami különösen veszélyes multirezisztens kórokozók kialakulásához vezet. Továbbá a horizontális génátvitel során együtt öröklődhetnek más túlélési előnyt adó tulajdonságok is: például a fertőtlenítőszerekkel vagy nehézfémekkel szembeni toleranciát és az antibiotikum-rezisztenciát kódoló gének gyakran ugyanazon </w:t>
      </w:r>
      <w:proofErr w:type="spellStart"/>
      <w:r w:rsidRPr="00A22293">
        <w:rPr>
          <w:rFonts w:ascii="Times New Roman" w:hAnsi="Times New Roman" w:cs="Times New Roman"/>
        </w:rPr>
        <w:t>plazmidon</w:t>
      </w:r>
      <w:proofErr w:type="spellEnd"/>
      <w:r w:rsidRPr="00A22293">
        <w:rPr>
          <w:rFonts w:ascii="Times New Roman" w:hAnsi="Times New Roman" w:cs="Times New Roman"/>
        </w:rPr>
        <w:t xml:space="preserve"> helyezkednek el. Így ha egy baktérium egy szennyezett környezetben a fémekhez alkalmazkodik, az ezzel “egy csomagban” érkező antibiotikum-rezisztenciát is megtartja (ezt a jelenséget nevezzük </w:t>
      </w:r>
      <w:proofErr w:type="spellStart"/>
      <w:r w:rsidRPr="00A22293">
        <w:rPr>
          <w:rFonts w:ascii="Times New Roman" w:hAnsi="Times New Roman" w:cs="Times New Roman"/>
        </w:rPr>
        <w:t>ko</w:t>
      </w:r>
      <w:proofErr w:type="spellEnd"/>
      <w:r w:rsidRPr="00A22293">
        <w:rPr>
          <w:rFonts w:ascii="Times New Roman" w:hAnsi="Times New Roman" w:cs="Times New Roman"/>
        </w:rPr>
        <w:t>-szelekciónak).</w:t>
      </w:r>
    </w:p>
    <w:p w14:paraId="4ADB55C1"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A környezeti </w:t>
      </w:r>
      <w:proofErr w:type="spellStart"/>
      <w:r w:rsidRPr="00A22293">
        <w:rPr>
          <w:rFonts w:ascii="Times New Roman" w:hAnsi="Times New Roman" w:cs="Times New Roman"/>
        </w:rPr>
        <w:t>rezisztom</w:t>
      </w:r>
      <w:proofErr w:type="spellEnd"/>
      <w:r w:rsidRPr="00A22293">
        <w:rPr>
          <w:rFonts w:ascii="Times New Roman" w:hAnsi="Times New Roman" w:cs="Times New Roman"/>
        </w:rPr>
        <w:t xml:space="preserve"> jelentőségét alátámasztja, hogy napjainkra a világ szinte minden pontján kimutathatók antibiotikum-rezisztenciagének. Vizsgálatok találtak antimikrobiális szerekkel szembeni rezisztenciát hordozó genetikai elemeket távoli, érintetlen területeken – például sarkvidéki jégrétegekben, magashegyi tavakban – is, ami jelzi, hogy a rezisztencia terjedése globális méretűvé vált. Ennek oka, hogy az antibiotikumok és a rezisztens baktériumok különböző úton kerülhetnek be a környezetbe: a humán és állati eredetű szennyvizek, a hígtrágya és trágyalé kijuttatása a talajra, a nem megfelelően kezelt kórházi hulladék, valamint az antibiotikum-gyárak technológiai szennyvizei mind jelentős forrásai a környezeti szennyezésnek. Bár a természetes vizekben és talajokban az antibiotikumok koncentrációja általában alacsony, egyes pontszerű kibocsátások (például egyes indiai gyógyszergyárak folyóvize) közelében extrém magas koncentrációkat mértek, amelyek már olyan erős szelekciós nyomást jelentenek, hogy csak a rezisztens baktériumok képesek túlélni. De még alacsony szinteknél is fennáll a krónikus szelekció lehetősége: a hosszú ideig jelen lévő, kis dózisú antibiotikum a baktériumközösségek összetételét fokozatosan a rezisztens formák javára tolhatja el. Az állandó antibiotikum-háttér elősegíti, hogy a mobilis genetikai elemek és rajtuk a rezisztenciagének megmaradjanak és terjedjenek. Ezen felül élő vektorok is szerepet játszanak a rezisztens kórokozók diszperziójában: például a vándormadarak vagy vadállatok hordozhatnak magukban rezisztens baktériumokat, amelyek új földrajzi helyekre jutva ott is megjelenítik a rezisztenciát.</w:t>
      </w:r>
    </w:p>
    <w:p w14:paraId="5B75AE85"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Mindezek fényében a környezetet egyfajta “olvasztótégelynek” tekinthetjük az antimikrobiális rezisztencia szempontjából. A környezeti </w:t>
      </w:r>
      <w:proofErr w:type="spellStart"/>
      <w:r w:rsidRPr="00A22293">
        <w:rPr>
          <w:rFonts w:ascii="Times New Roman" w:hAnsi="Times New Roman" w:cs="Times New Roman"/>
        </w:rPr>
        <w:t>rezisztom</w:t>
      </w:r>
      <w:proofErr w:type="spellEnd"/>
      <w:r w:rsidRPr="00A22293">
        <w:rPr>
          <w:rFonts w:ascii="Times New Roman" w:hAnsi="Times New Roman" w:cs="Times New Roman"/>
        </w:rPr>
        <w:t xml:space="preserve"> hatalmas génkészlete potenciális forrása a jövőbeli klinikai rezisztenciáknak. Az AMR elleni stratégiáknak ezért ki kell terjedniük a környezetre is: csökkenteni kell az antibiotikumok környezeti kibocsátását, fejleszteni kell a szennyvízkezelést, és nyomon kell követni a környezeti baktériumok rezisztenciájának alakulását. </w:t>
      </w:r>
      <w:r w:rsidRPr="00A22293">
        <w:rPr>
          <w:rFonts w:ascii="Times New Roman" w:hAnsi="Times New Roman" w:cs="Times New Roman"/>
        </w:rPr>
        <w:lastRenderedPageBreak/>
        <w:t xml:space="preserve">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megközelítés éppen ezt hangsúlyozza: a környezet-egészség védelme nélkül az emberi és állati rezisztencia helyzetét sem tudjuk hosszú távon javítani.</w:t>
      </w:r>
    </w:p>
    <w:p w14:paraId="4CB50340" w14:textId="77777777" w:rsidR="00195DC0" w:rsidRPr="0089725E" w:rsidRDefault="00A22293" w:rsidP="00A22293">
      <w:pPr>
        <w:pStyle w:val="Cmsor2"/>
        <w:jc w:val="both"/>
        <w:rPr>
          <w:rFonts w:ascii="Times New Roman" w:hAnsi="Times New Roman" w:cs="Times New Roman"/>
          <w:sz w:val="24"/>
          <w:szCs w:val="24"/>
        </w:rPr>
      </w:pPr>
      <w:bookmarkStart w:id="6" w:name="Xc253257d903c5db519bd3d2ef25f8533018fdbe"/>
      <w:bookmarkEnd w:id="5"/>
      <w:r w:rsidRPr="0089725E">
        <w:rPr>
          <w:rFonts w:ascii="Times New Roman" w:hAnsi="Times New Roman" w:cs="Times New Roman"/>
          <w:sz w:val="24"/>
          <w:szCs w:val="24"/>
        </w:rPr>
        <w:t>Az antibiotikum-használat az állattenyésztésben, a humán gyógyászatban és a környezetben</w:t>
      </w:r>
    </w:p>
    <w:p w14:paraId="574A8D68" w14:textId="77777777" w:rsidR="00195DC0" w:rsidRPr="00A22293" w:rsidRDefault="00A22293" w:rsidP="00A22293">
      <w:pPr>
        <w:pStyle w:val="FirstParagraph"/>
        <w:jc w:val="both"/>
        <w:rPr>
          <w:rFonts w:ascii="Times New Roman" w:hAnsi="Times New Roman" w:cs="Times New Roman"/>
        </w:rPr>
      </w:pPr>
      <w:r w:rsidRPr="00A22293">
        <w:rPr>
          <w:rFonts w:ascii="Times New Roman" w:hAnsi="Times New Roman" w:cs="Times New Roman"/>
        </w:rPr>
        <w:t>A rezisztencia terjedésének legfőbb motorja az antimikrobiális szerek nem megfelelő használata mind az állattenyésztésben, mind az emberi gyógyászatban. Az iparszerű haszonállat-tartásban évtizedeken át bevett gyakorlat volt az antibiotikumok adagolása a takarmányba növekedésserkentő adalékként vagy rendszeres megelőzésként. Ennek következtében a haszonállatok bélrendszerében és környezetében folyamatos antibiotikum-szelekció érvényesült, ami kedvezett a rezisztens baktériumtörzsek elszaporodásának. Az Európai Unió 2006-ban betiltotta az antibiotikumok hozamfokozó célú alkalmazását, de a világ más részein ez ma is hozzájárul az AMR-</w:t>
      </w:r>
      <w:proofErr w:type="spellStart"/>
      <w:r w:rsidRPr="00A22293">
        <w:rPr>
          <w:rFonts w:ascii="Times New Roman" w:hAnsi="Times New Roman" w:cs="Times New Roman"/>
        </w:rPr>
        <w:t>hez</w:t>
      </w:r>
      <w:proofErr w:type="spellEnd"/>
      <w:r w:rsidRPr="00A22293">
        <w:rPr>
          <w:rFonts w:ascii="Times New Roman" w:hAnsi="Times New Roman" w:cs="Times New Roman"/>
        </w:rPr>
        <w:t xml:space="preserve">. Emellett gyakori az is, hogy nagy létszámú állományokat </w:t>
      </w:r>
      <w:proofErr w:type="spellStart"/>
      <w:r w:rsidRPr="00A22293">
        <w:rPr>
          <w:rFonts w:ascii="Times New Roman" w:hAnsi="Times New Roman" w:cs="Times New Roman"/>
        </w:rPr>
        <w:t>rutinszerűen</w:t>
      </w:r>
      <w:proofErr w:type="spellEnd"/>
      <w:r w:rsidRPr="00A22293">
        <w:rPr>
          <w:rFonts w:ascii="Times New Roman" w:hAnsi="Times New Roman" w:cs="Times New Roman"/>
        </w:rPr>
        <w:t xml:space="preserve"> kezelnek antibiotikumokkal betegségmegelőzés céljából (</w:t>
      </w:r>
      <w:proofErr w:type="spellStart"/>
      <w:r w:rsidRPr="00A22293">
        <w:rPr>
          <w:rFonts w:ascii="Times New Roman" w:hAnsi="Times New Roman" w:cs="Times New Roman"/>
        </w:rPr>
        <w:t>metafilaxis</w:t>
      </w:r>
      <w:proofErr w:type="spellEnd"/>
      <w:r w:rsidRPr="00A22293">
        <w:rPr>
          <w:rFonts w:ascii="Times New Roman" w:hAnsi="Times New Roman" w:cs="Times New Roman"/>
        </w:rPr>
        <w:t xml:space="preserve">), különösen szűk tartási körülmények között, ahol gyorsan terjedhetnek a fertőzések. Mindez viszont “ideális” szelekciós közeget teremt a rezisztens kórokozóknak. Például a sertéstelepeken elterjedt bizonyos MRSA törzs (úgynevezett LA-MRSA) tünetmentesen jelen lehet a sertésekben, és onnan a farmon dolgozókra is átterjedhet, akik révén tovább vihető a kórokozó a kórházakba. Az állatgyógyászatban emellett problémát jelent, hogy sokszor ugyanazokat vagy hasonló hatóanyagú antibiotikumokat alkalmazzák, mint az embergyógyászatban, így az állatokban kialakuló rezisztencia csökkentheti az adott szerek hatékonyságát emberekben is. Ilyen példa a </w:t>
      </w:r>
      <w:proofErr w:type="spellStart"/>
      <w:r w:rsidRPr="00A22293">
        <w:rPr>
          <w:rFonts w:ascii="Times New Roman" w:hAnsi="Times New Roman" w:cs="Times New Roman"/>
        </w:rPr>
        <w:t>kolisztin</w:t>
      </w:r>
      <w:proofErr w:type="spellEnd"/>
      <w:r w:rsidRPr="00A22293">
        <w:rPr>
          <w:rFonts w:ascii="Times New Roman" w:hAnsi="Times New Roman" w:cs="Times New Roman"/>
        </w:rPr>
        <w:t xml:space="preserve"> esete: ezt a “végső tartalékként” számon tartott antibiotikumot állatgyógyászatban is használták, mígnem megjelent egy </w:t>
      </w:r>
      <w:proofErr w:type="spellStart"/>
      <w:r w:rsidRPr="00A22293">
        <w:rPr>
          <w:rFonts w:ascii="Times New Roman" w:hAnsi="Times New Roman" w:cs="Times New Roman"/>
        </w:rPr>
        <w:t>plazmidon</w:t>
      </w:r>
      <w:proofErr w:type="spellEnd"/>
      <w:r w:rsidRPr="00A22293">
        <w:rPr>
          <w:rFonts w:ascii="Times New Roman" w:hAnsi="Times New Roman" w:cs="Times New Roman"/>
        </w:rPr>
        <w:t xml:space="preserve"> terjedő rezisztenciagén (mcr-1), amely világszerte elterjedt baktériumpopulációkban, veszélybe sodorva a </w:t>
      </w:r>
      <w:proofErr w:type="spellStart"/>
      <w:r w:rsidRPr="00A22293">
        <w:rPr>
          <w:rFonts w:ascii="Times New Roman" w:hAnsi="Times New Roman" w:cs="Times New Roman"/>
        </w:rPr>
        <w:t>kolisztin</w:t>
      </w:r>
      <w:proofErr w:type="spellEnd"/>
      <w:r w:rsidRPr="00A22293">
        <w:rPr>
          <w:rFonts w:ascii="Times New Roman" w:hAnsi="Times New Roman" w:cs="Times New Roman"/>
        </w:rPr>
        <w:t xml:space="preserve"> alkalmazhatóságát súlyos humán fertőzésekben.</w:t>
      </w:r>
    </w:p>
    <w:p w14:paraId="621FC2D8"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Az emberi gyógyászatban az antibiotikumok túlzott vagy nem megfelelő alkalmazása hasonlóan kritikus probléma. Sok országban gondot jelent a szerek túlrendelése: gyakran alkalmaznak antibiotikumot olyan fertőzésekre is, amelyeket valójában vírusok okoznak (például nátha, influenza), így az antibiotikum szükségtelenül éri a szervezet normál baktériumflóráját, teret adva a rezisztens törzsek </w:t>
      </w:r>
      <w:proofErr w:type="spellStart"/>
      <w:r w:rsidRPr="00A22293">
        <w:rPr>
          <w:rFonts w:ascii="Times New Roman" w:hAnsi="Times New Roman" w:cs="Times New Roman"/>
        </w:rPr>
        <w:t>szelektálódásának</w:t>
      </w:r>
      <w:proofErr w:type="spellEnd"/>
      <w:r w:rsidRPr="00A22293">
        <w:rPr>
          <w:rFonts w:ascii="Times New Roman" w:hAnsi="Times New Roman" w:cs="Times New Roman"/>
        </w:rPr>
        <w:t xml:space="preserve">. A páciensek részéről is tapasztalható, hogy elvárják az “erős gyógyszert” még olyankor is, amikor arra nincs szükség, illetve sokan nem tartják be az orvosi előírásokat (nem szedik végig a teljes kúrát, vagy régi maradék antibiotikumot vesznek be öndiagnózis alapján). Számos fejlődő országban az antibiotikumok vény nélkül beszerezhetők a patikákban, ami megnehezíti a használat ellenőrzését. Mindezek a tényezők elősegítik, hogy az antibiotikumoknak ellenálló baktériumok </w:t>
      </w:r>
      <w:proofErr w:type="spellStart"/>
      <w:r w:rsidRPr="00A22293">
        <w:rPr>
          <w:rFonts w:ascii="Times New Roman" w:hAnsi="Times New Roman" w:cs="Times New Roman"/>
        </w:rPr>
        <w:t>szelektálódjanak</w:t>
      </w:r>
      <w:proofErr w:type="spellEnd"/>
      <w:r w:rsidRPr="00A22293">
        <w:rPr>
          <w:rFonts w:ascii="Times New Roman" w:hAnsi="Times New Roman" w:cs="Times New Roman"/>
        </w:rPr>
        <w:t xml:space="preserve"> és elterjedjenek a közösségekben. A kórházi környezet különösen érzékeny a rezisztencia terjedésére: az intenzív terápiák, </w:t>
      </w:r>
      <w:proofErr w:type="spellStart"/>
      <w:r w:rsidRPr="00A22293">
        <w:rPr>
          <w:rFonts w:ascii="Times New Roman" w:hAnsi="Times New Roman" w:cs="Times New Roman"/>
        </w:rPr>
        <w:t>invazív</w:t>
      </w:r>
      <w:proofErr w:type="spellEnd"/>
      <w:r w:rsidRPr="00A22293">
        <w:rPr>
          <w:rFonts w:ascii="Times New Roman" w:hAnsi="Times New Roman" w:cs="Times New Roman"/>
        </w:rPr>
        <w:t xml:space="preserve"> eljárások, immunsérült betegek és nagydózisú, széles spektrumú antibiotikum használat együttesen ahhoz vezet, hogy a kórházakban tűnnek fel és terjednek el olyan “szuperbaktériumok”, mint a többféle antibiotikumra rezisztens </w:t>
      </w:r>
      <w:proofErr w:type="spellStart"/>
      <w:r w:rsidRPr="00A22293">
        <w:rPr>
          <w:rFonts w:ascii="Times New Roman" w:hAnsi="Times New Roman" w:cs="Times New Roman"/>
        </w:rPr>
        <w:t>Klebsiella</w:t>
      </w:r>
      <w:proofErr w:type="spellEnd"/>
      <w:r w:rsidRPr="00A22293">
        <w:rPr>
          <w:rFonts w:ascii="Times New Roman" w:hAnsi="Times New Roman" w:cs="Times New Roman"/>
        </w:rPr>
        <w:t>, Pseudomonas vagy az MRSA. Az egészségügyi ellátással összefüggő fertőzések (</w:t>
      </w:r>
      <w:proofErr w:type="spellStart"/>
      <w:r w:rsidRPr="00A22293">
        <w:rPr>
          <w:rFonts w:ascii="Times New Roman" w:hAnsi="Times New Roman" w:cs="Times New Roman"/>
        </w:rPr>
        <w:t>nosocomiális</w:t>
      </w:r>
      <w:proofErr w:type="spellEnd"/>
      <w:r w:rsidRPr="00A22293">
        <w:rPr>
          <w:rFonts w:ascii="Times New Roman" w:hAnsi="Times New Roman" w:cs="Times New Roman"/>
        </w:rPr>
        <w:t xml:space="preserve"> fertőzések) jelentős hányadát ma már multirezisztens kórokozók okozzák, ami megnehezíti e fertőzések kezelését, növeli a halálozást és a kórházi költségeket.</w:t>
      </w:r>
    </w:p>
    <w:p w14:paraId="7782C02B"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A környezetbe jutó antibiotikumok szintén az AMR terjedését táplálják. Az antimikrobiális szerek használatának “végállomása” sok esetben a természet: az állatoknak adott antibiotikumok jelentős része a trágyával kiürül, a humán gyógyászatban alkalmazott szerek </w:t>
      </w:r>
      <w:proofErr w:type="spellStart"/>
      <w:r w:rsidRPr="00A22293">
        <w:rPr>
          <w:rFonts w:ascii="Times New Roman" w:hAnsi="Times New Roman" w:cs="Times New Roman"/>
        </w:rPr>
        <w:t>metabolitjai</w:t>
      </w:r>
      <w:proofErr w:type="spellEnd"/>
      <w:r w:rsidRPr="00A22293">
        <w:rPr>
          <w:rFonts w:ascii="Times New Roman" w:hAnsi="Times New Roman" w:cs="Times New Roman"/>
        </w:rPr>
        <w:t xml:space="preserve"> pedig megjelennek a szennyvízben. Ha a szennyvíztisztítás nem teljes körű, ezek a vegyületek a felszíni </w:t>
      </w:r>
      <w:r w:rsidRPr="00A22293">
        <w:rPr>
          <w:rFonts w:ascii="Times New Roman" w:hAnsi="Times New Roman" w:cs="Times New Roman"/>
        </w:rPr>
        <w:lastRenderedPageBreak/>
        <w:t xml:space="preserve">vizekbe, onnan pedig a talajba és akár az ivóvízbázisokba is eljuthatnak. Egyes ágazatokban az antibiotikumot közvetlenül a környezetbe juttatják: például az </w:t>
      </w:r>
      <w:proofErr w:type="spellStart"/>
      <w:r w:rsidRPr="00A22293">
        <w:rPr>
          <w:rFonts w:ascii="Times New Roman" w:hAnsi="Times New Roman" w:cs="Times New Roman"/>
        </w:rPr>
        <w:t>akvakultúrában</w:t>
      </w:r>
      <w:proofErr w:type="spellEnd"/>
      <w:r w:rsidRPr="00A22293">
        <w:rPr>
          <w:rFonts w:ascii="Times New Roman" w:hAnsi="Times New Roman" w:cs="Times New Roman"/>
        </w:rPr>
        <w:t xml:space="preserve"> (hal- és ráktenyészetekben) gyakran alkalmaznak antibiotikumokat a vízbe keverve a betegségek megelőzésére, vagy a növénytermesztésben bizonyos bakteriális növénykórok ellen permeteznek réz- és antibiotikum tartalmú szereket. Ezek a gyakorlatok az adott helyi mikrobiális ökoszisztémában a rezisztencia fokozódásához vezetnek, és a környezeti elemek (víz, talaj) közvetítésével a rezisztens baktériumok és gének messzebbre is eljutnak. Emellett a háztartásokban széles körben használt antibakteriális tisztítószerek (például </w:t>
      </w:r>
      <w:proofErr w:type="spellStart"/>
      <w:r w:rsidRPr="00A22293">
        <w:rPr>
          <w:rFonts w:ascii="Times New Roman" w:hAnsi="Times New Roman" w:cs="Times New Roman"/>
        </w:rPr>
        <w:t>triklozán</w:t>
      </w:r>
      <w:proofErr w:type="spellEnd"/>
      <w:r w:rsidRPr="00A22293">
        <w:rPr>
          <w:rFonts w:ascii="Times New Roman" w:hAnsi="Times New Roman" w:cs="Times New Roman"/>
        </w:rPr>
        <w:t xml:space="preserve"> tartalmú szappanok) és fertőtlenítők túlhasználata is problémás lehet: bizonyos mikrobák ezekhez is alkalmazkodnak, sőt előfordulhat, hogy az efféle szerekhez való hozzászokás járulékos antibiotikum-rezisztenciát is magával von (keresztrezisztencia). Összességében elmondható, hogy bármely területen használjuk is az antimikrobiális szereket, a nem megfelelő alkalmazás előbb-utóbb rezisztens törzsek megjelenéséhez vezet, amelyek nem maradnak az adott helyszínen: az emberek, állatok és a környezet közötti átjárás révén szélesebb populációkat is veszélyeztetnek. Ezért kulcsfontosságú az antibiotikum-használat visszaszorítása és ésszerű keretek között tartása minden szektorban.</w:t>
      </w:r>
    </w:p>
    <w:p w14:paraId="6E131A71" w14:textId="77777777" w:rsidR="00195DC0" w:rsidRPr="0089725E" w:rsidRDefault="00A22293" w:rsidP="00A22293">
      <w:pPr>
        <w:pStyle w:val="Cmsor2"/>
        <w:jc w:val="both"/>
        <w:rPr>
          <w:rFonts w:ascii="Times New Roman" w:hAnsi="Times New Roman" w:cs="Times New Roman"/>
          <w:sz w:val="24"/>
          <w:szCs w:val="24"/>
        </w:rPr>
      </w:pPr>
      <w:bookmarkStart w:id="7" w:name="a-one-health-szemlélet-alapelvei"/>
      <w:bookmarkEnd w:id="6"/>
      <w:r w:rsidRPr="0089725E">
        <w:rPr>
          <w:rFonts w:ascii="Times New Roman" w:hAnsi="Times New Roman" w:cs="Times New Roman"/>
          <w:sz w:val="24"/>
          <w:szCs w:val="24"/>
        </w:rPr>
        <w:t xml:space="preserve">A </w:t>
      </w:r>
      <w:proofErr w:type="spellStart"/>
      <w:r w:rsidRPr="0089725E">
        <w:rPr>
          <w:rFonts w:ascii="Times New Roman" w:hAnsi="Times New Roman" w:cs="Times New Roman"/>
          <w:sz w:val="24"/>
          <w:szCs w:val="24"/>
        </w:rPr>
        <w:t>One</w:t>
      </w:r>
      <w:proofErr w:type="spellEnd"/>
      <w:r w:rsidRPr="0089725E">
        <w:rPr>
          <w:rFonts w:ascii="Times New Roman" w:hAnsi="Times New Roman" w:cs="Times New Roman"/>
          <w:sz w:val="24"/>
          <w:szCs w:val="24"/>
        </w:rPr>
        <w:t xml:space="preserve"> Health szemlélet alapelvei</w:t>
      </w:r>
    </w:p>
    <w:p w14:paraId="6DEA65BF" w14:textId="77777777" w:rsidR="00195DC0" w:rsidRPr="00A22293" w:rsidRDefault="00A22293" w:rsidP="00A22293">
      <w:pPr>
        <w:pStyle w:val="FirstParagraph"/>
        <w:jc w:val="both"/>
        <w:rPr>
          <w:rFonts w:ascii="Times New Roman" w:hAnsi="Times New Roman" w:cs="Times New Roman"/>
        </w:rPr>
      </w:pPr>
      <w:r w:rsidRPr="00A22293">
        <w:rPr>
          <w:rFonts w:ascii="Times New Roman" w:hAnsi="Times New Roman" w:cs="Times New Roman"/>
        </w:rPr>
        <w:t>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(magyarul Egy Egészség) megközelítés alapelve, hogy az emberek, állatok és a környezet egészsége szorosan összefügg, ezért az olyan összetett problémákat, mint az antimikrobiális rezisztencia, csak az ágazatok közötti együttműködéssel lehet hatékonyan kezelni. 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szemlélet hivatalos meghatározása szerint egy </w:t>
      </w:r>
      <w:proofErr w:type="spellStart"/>
      <w:r w:rsidRPr="00A22293">
        <w:rPr>
          <w:rFonts w:ascii="Times New Roman" w:hAnsi="Times New Roman" w:cs="Times New Roman"/>
        </w:rPr>
        <w:t>multiszektoriális</w:t>
      </w:r>
      <w:proofErr w:type="spellEnd"/>
      <w:r w:rsidRPr="00A22293">
        <w:rPr>
          <w:rFonts w:ascii="Times New Roman" w:hAnsi="Times New Roman" w:cs="Times New Roman"/>
        </w:rPr>
        <w:t>, interdiszciplináris együttműködésről van szó helyi, nemzeti és globális szinten annak érdekében, hogy optimális egészségügyi eredményeket érjünk el, felismerve az emberek, az állatok, a növények és a közös környezetük egymásra utaltságát.</w:t>
      </w:r>
    </w:p>
    <w:p w14:paraId="544E4499"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Az AMR esetében 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azt hangsúlyozza, hogy sem az embergyógyászat, sem az állatgyógyászat nem tudja egyedül megoldani a rezisztencia válságát. Hiába csökkentjük például az antibiotikum-felhasználást a humán </w:t>
      </w:r>
      <w:proofErr w:type="spellStart"/>
      <w:r w:rsidRPr="00A22293">
        <w:rPr>
          <w:rFonts w:ascii="Times New Roman" w:hAnsi="Times New Roman" w:cs="Times New Roman"/>
        </w:rPr>
        <w:t>klinikumokban</w:t>
      </w:r>
      <w:proofErr w:type="spellEnd"/>
      <w:r w:rsidRPr="00A22293">
        <w:rPr>
          <w:rFonts w:ascii="Times New Roman" w:hAnsi="Times New Roman" w:cs="Times New Roman"/>
        </w:rPr>
        <w:t>, ha közben az állattenyésztésben kontrollálatlanul folytatódik a túlhasználat – a rezisztens baktériumok így is meg fognak jelenni az emberek között, hiszen az élelmiszerláncon, direkt érintkezésen vagy a környezeten át “visszakerülnek”. Ugyanígy, ha egy ország szigorúan szabályozza is az antibiotikumokat, a szomszédos országokból utazók vagy importált élelmiszerek révén a rezisztens kórokozók átjuthatnak a határokon. Vagyis minden szinten és minden érintett szektorban egyszerre kell lépéseket tenni.</w:t>
      </w:r>
    </w:p>
    <w:p w14:paraId="59AA974B"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szemlélet gyakorlati megvalósítása során együttműködik az orvosi, állatorvosi, epidemiológiai, mikrobiológiai, ökológiai és egyéb szakemberek köre. Például közös járványügyi felügyeleti rendszerek (</w:t>
      </w:r>
      <w:proofErr w:type="spellStart"/>
      <w:r w:rsidRPr="00A22293">
        <w:rPr>
          <w:rFonts w:ascii="Times New Roman" w:hAnsi="Times New Roman" w:cs="Times New Roman"/>
        </w:rPr>
        <w:t>szurveillansz</w:t>
      </w:r>
      <w:proofErr w:type="spellEnd"/>
      <w:r w:rsidRPr="00A22293">
        <w:rPr>
          <w:rFonts w:ascii="Times New Roman" w:hAnsi="Times New Roman" w:cs="Times New Roman"/>
        </w:rPr>
        <w:t xml:space="preserve"> hálózatok) figyelik a rezisztens kórokozók előfordulását emberekben és állatokban, az eredményeket összehasonlítják és megosztják. Az állatorvosok és humán orvosok együtt dolgoznak ki útmutatókat a megfelelő antibiotikum-használatról, hogy mindkét területen hasonló elvek érvényesüljenek (ezt nevezik felelős vagy </w:t>
      </w:r>
      <w:proofErr w:type="spellStart"/>
      <w:r w:rsidRPr="00A22293">
        <w:rPr>
          <w:rFonts w:ascii="Times New Roman" w:hAnsi="Times New Roman" w:cs="Times New Roman"/>
        </w:rPr>
        <w:t>prudent</w:t>
      </w:r>
      <w:proofErr w:type="spellEnd"/>
      <w:r w:rsidRPr="00A22293">
        <w:rPr>
          <w:rFonts w:ascii="Times New Roman" w:hAnsi="Times New Roman" w:cs="Times New Roman"/>
        </w:rPr>
        <w:t xml:space="preserve"> használatnak). A mezőgazdasági szakemberek, állattenyésztők is részesei a folyamatnak: javítják az állattartási körülményeket, </w:t>
      </w:r>
      <w:proofErr w:type="spellStart"/>
      <w:r w:rsidRPr="00A22293">
        <w:rPr>
          <w:rFonts w:ascii="Times New Roman" w:hAnsi="Times New Roman" w:cs="Times New Roman"/>
        </w:rPr>
        <w:t>oltásos</w:t>
      </w:r>
      <w:proofErr w:type="spellEnd"/>
      <w:r w:rsidRPr="00A22293">
        <w:rPr>
          <w:rFonts w:ascii="Times New Roman" w:hAnsi="Times New Roman" w:cs="Times New Roman"/>
        </w:rPr>
        <w:t xml:space="preserve"> programokat alkalmaznak a betegségek megelőzésére, hogy kevesebb antibiotikumra legyen szükség. A környezetvédelmi hatóságok szintén bevonásra kerülnek: szabályozzák és ellenőrzik az antibiotikumok gyártásából és használatából eredő kibocsátásokat, gondoskodnak a veszélyes hulladékok kezeléséről, védik az ivóvízbázisokat. 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tehát </w:t>
      </w:r>
      <w:r w:rsidRPr="00A22293">
        <w:rPr>
          <w:rFonts w:ascii="Times New Roman" w:hAnsi="Times New Roman" w:cs="Times New Roman"/>
        </w:rPr>
        <w:lastRenderedPageBreak/>
        <w:t>egy ernyő, ami alá minden releváns szakterület beletartozik, és amely keretet ad a közös cselekvésnek.</w:t>
      </w:r>
    </w:p>
    <w:p w14:paraId="007AFFCD"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Ez a holisztikus szemlélet napjainkra nemzetközi konszenzussá vált az AMR elleni harcban. Az Egészségügyi Világszervezet (WHO), az Állategészségügyi Világszervezet (korábbi OIE, ma WOAH), az ENSZ Élelmezésügyi és Mezőgazdasági Szervezete (FAO) és az ENSZ Környezetvédelmi Programja (UNEP) közösen képviselik 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megközelítést, és irányelveket dolgoznak ki, amelyek segítik az országokat ennek alkalmazásában. Sok országban nemzeti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platformok jöttek létre, amelyek összehozzák az egészségügyi, állategészségügyi és környezet-egészségügyi hatóságokat, kutatókat és döntéshozókat annak érdekében, hogy összehangolt stratégiák </w:t>
      </w:r>
      <w:proofErr w:type="spellStart"/>
      <w:r w:rsidRPr="00A22293">
        <w:rPr>
          <w:rFonts w:ascii="Times New Roman" w:hAnsi="Times New Roman" w:cs="Times New Roman"/>
        </w:rPr>
        <w:t>szülessenek</w:t>
      </w:r>
      <w:proofErr w:type="spellEnd"/>
      <w:r w:rsidRPr="00A22293">
        <w:rPr>
          <w:rFonts w:ascii="Times New Roman" w:hAnsi="Times New Roman" w:cs="Times New Roman"/>
        </w:rPr>
        <w:t xml:space="preserve">. 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lényege végső soron az, hogy felismerjük: az ember, az állat és a bolygó egészsége egy közös egységet alkot, és csak ennek tudatában tudunk fenntartható megoldásokat találni az antimikrobiális rezisztencia problémájára.</w:t>
      </w:r>
    </w:p>
    <w:p w14:paraId="09B41000" w14:textId="77777777" w:rsidR="00195DC0" w:rsidRPr="0089725E" w:rsidRDefault="00A22293" w:rsidP="00A22293">
      <w:pPr>
        <w:pStyle w:val="Cmsor2"/>
        <w:jc w:val="both"/>
        <w:rPr>
          <w:rFonts w:ascii="Times New Roman" w:hAnsi="Times New Roman" w:cs="Times New Roman"/>
          <w:sz w:val="24"/>
          <w:szCs w:val="24"/>
        </w:rPr>
      </w:pPr>
      <w:bookmarkStart w:id="8" w:name="X44b75f6c8bd89ccb1622753992bafb60728954b"/>
      <w:bookmarkEnd w:id="7"/>
      <w:proofErr w:type="spellStart"/>
      <w:r w:rsidRPr="0089725E">
        <w:rPr>
          <w:rFonts w:ascii="Times New Roman" w:hAnsi="Times New Roman" w:cs="Times New Roman"/>
          <w:sz w:val="24"/>
          <w:szCs w:val="24"/>
        </w:rPr>
        <w:t>One</w:t>
      </w:r>
      <w:proofErr w:type="spellEnd"/>
      <w:r w:rsidRPr="0089725E">
        <w:rPr>
          <w:rFonts w:ascii="Times New Roman" w:hAnsi="Times New Roman" w:cs="Times New Roman"/>
          <w:sz w:val="24"/>
          <w:szCs w:val="24"/>
        </w:rPr>
        <w:t xml:space="preserve"> Health-alapú stratégiák az AMR elleni küzdelemben – nemzeti és nemzetközi példák</w:t>
      </w:r>
    </w:p>
    <w:p w14:paraId="5BD69023" w14:textId="77777777" w:rsidR="00195DC0" w:rsidRPr="00A22293" w:rsidRDefault="00A22293" w:rsidP="00A22293">
      <w:pPr>
        <w:pStyle w:val="FirstParagraph"/>
        <w:jc w:val="both"/>
        <w:rPr>
          <w:rFonts w:ascii="Times New Roman" w:hAnsi="Times New Roman" w:cs="Times New Roman"/>
        </w:rPr>
      </w:pPr>
      <w:r w:rsidRPr="00A22293">
        <w:rPr>
          <w:rFonts w:ascii="Times New Roman" w:hAnsi="Times New Roman" w:cs="Times New Roman"/>
        </w:rPr>
        <w:t xml:space="preserve">Az antimikrobiális rezisztencia elleni harcban számos nemzeti és nemzetközi stratégia született, amelyek mind 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elveire épülnek. Nemzetközi szinten az áttörés 2015-ben jött el, amikor a WHO Közgyűlése elfogadta a Globális Akciótervet az AMR visszaszorítására. Ez az akcióterv öt fő pillért határozott meg: a tudatosság növelését, a szaktudás bővítését és képzést; a </w:t>
      </w:r>
      <w:proofErr w:type="spellStart"/>
      <w:r w:rsidRPr="00A22293">
        <w:rPr>
          <w:rFonts w:ascii="Times New Roman" w:hAnsi="Times New Roman" w:cs="Times New Roman"/>
        </w:rPr>
        <w:t>surveillance</w:t>
      </w:r>
      <w:proofErr w:type="spellEnd"/>
      <w:r w:rsidRPr="00A22293">
        <w:rPr>
          <w:rFonts w:ascii="Times New Roman" w:hAnsi="Times New Roman" w:cs="Times New Roman"/>
        </w:rPr>
        <w:t xml:space="preserve"> (felügyeleti) rendszerek és laboratóriumi kapacitások fejlesztését világszerte; a fertőzés-megelőző intézkedések erősítését (ideértve a védőoltásokat, kézhigiéniát, kórházi infekciókontrollt); az antimikrobiális szerek ésszerű használatának előmozdítását mind az egészségügyben, mind az állattenyésztésben (antibiotikum </w:t>
      </w:r>
      <w:proofErr w:type="spellStart"/>
      <w:r w:rsidRPr="00A22293">
        <w:rPr>
          <w:rFonts w:ascii="Times New Roman" w:hAnsi="Times New Roman" w:cs="Times New Roman"/>
        </w:rPr>
        <w:t>stewardship</w:t>
      </w:r>
      <w:proofErr w:type="spellEnd"/>
      <w:r w:rsidRPr="00A22293">
        <w:rPr>
          <w:rFonts w:ascii="Times New Roman" w:hAnsi="Times New Roman" w:cs="Times New Roman"/>
        </w:rPr>
        <w:t xml:space="preserve"> programok); valamint a kutatás-fejlesztés ösztönzését új gyógyszerek, </w:t>
      </w:r>
      <w:proofErr w:type="spellStart"/>
      <w:r w:rsidRPr="00A22293">
        <w:rPr>
          <w:rFonts w:ascii="Times New Roman" w:hAnsi="Times New Roman" w:cs="Times New Roman"/>
        </w:rPr>
        <w:t>diagnosztikumok</w:t>
      </w:r>
      <w:proofErr w:type="spellEnd"/>
      <w:r w:rsidRPr="00A22293">
        <w:rPr>
          <w:rFonts w:ascii="Times New Roman" w:hAnsi="Times New Roman" w:cs="Times New Roman"/>
        </w:rPr>
        <w:t xml:space="preserve"> és vakcinák terén. A WHO felhívta a tagállamokat, hogy dolgozzák ki saját nemzeti akcióterveiket e keretstratégia alapján. 2016-ban az ENSZ Közgyűlése is napirendre tűzte az AMR témáját, világvezetői szinten elismerve, hogy globális összefogás szükséges. Létrejött az úgynevezett “</w:t>
      </w:r>
      <w:proofErr w:type="spellStart"/>
      <w:r w:rsidRPr="00A22293">
        <w:rPr>
          <w:rFonts w:ascii="Times New Roman" w:hAnsi="Times New Roman" w:cs="Times New Roman"/>
        </w:rPr>
        <w:t>Tripartite</w:t>
      </w:r>
      <w:proofErr w:type="spellEnd"/>
      <w:r w:rsidRPr="00A22293">
        <w:rPr>
          <w:rFonts w:ascii="Times New Roman" w:hAnsi="Times New Roman" w:cs="Times New Roman"/>
        </w:rPr>
        <w:t xml:space="preserve">” együttműködés a WHO, a FAO és az OIE között (amelyhez 2021-ben a UNEP is csatlakozott, így már “Kvartett” néven), hogy közös, átfogó koordinációt biztosítson 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megközelítésű AMR-ellenes tevékenységeknek. Ennek keretében nemzetközi irányelvek, kézikönyvek készültek – például az antibiotikum-használat </w:t>
      </w:r>
      <w:proofErr w:type="spellStart"/>
      <w:r w:rsidRPr="00A22293">
        <w:rPr>
          <w:rFonts w:ascii="Times New Roman" w:hAnsi="Times New Roman" w:cs="Times New Roman"/>
        </w:rPr>
        <w:t>monitoringjára</w:t>
      </w:r>
      <w:proofErr w:type="spellEnd"/>
      <w:r w:rsidRPr="00A22293">
        <w:rPr>
          <w:rFonts w:ascii="Times New Roman" w:hAnsi="Times New Roman" w:cs="Times New Roman"/>
        </w:rPr>
        <w:t>, a kórházi fertőzések kontrolljára, vagy a mezőgazdasági jó gyakorlatokra vonatkozóan – amelyeket a tagországok átvehetnek.</w:t>
      </w:r>
    </w:p>
    <w:p w14:paraId="516486A3"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Az Európai Unió különösen aktív szerepet vállal az AMR elleni küzdelemben, és saját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stratégiával rendelkezik. Már 2011-ben elfogadtak egy átfogó európai AMR cselekvési tervet, majd 2017-ben indult útjára az “Egy az egészség” elvén nyugvó megerősített EU AMR Action </w:t>
      </w:r>
      <w:proofErr w:type="spellStart"/>
      <w:r w:rsidRPr="00A22293">
        <w:rPr>
          <w:rFonts w:ascii="Times New Roman" w:hAnsi="Times New Roman" w:cs="Times New Roman"/>
        </w:rPr>
        <w:t>Plan</w:t>
      </w:r>
      <w:proofErr w:type="spellEnd"/>
      <w:r w:rsidRPr="00A22293">
        <w:rPr>
          <w:rFonts w:ascii="Times New Roman" w:hAnsi="Times New Roman" w:cs="Times New Roman"/>
        </w:rPr>
        <w:t xml:space="preserve">. Az EU stratégiája konkrét célokat is kitűzött: például 2030-ig 50%-kal kívánják csökkenteni az élelmiszertermelő állatoknak beadott antibiotikumok mennyiségét (a 2018-as bázishoz képest). Szintén cél a humán járóbeteg-ellátásban az antibiotikum-felírások számának jelentős mérséklése. Az Európai Bizottság és az Európai Betegségmegelőzési Központ (ECDC) támogatja a tagállamokat nemzeti akciótervek kidolgozásában és megvalósításában. Az EU-ban szigorú szabályozások léptek életbe: 2022-től tilos antibiotikumot alkalmazni növekedésserkentésre vagy rutinszerű profilaxisra az állattartásban, és bizonyos kritikus fontosságú humán antibiotikumokat teljesen megvontak az állatgyógyászati felhasználástól. Az EU országaiban integrált </w:t>
      </w:r>
      <w:proofErr w:type="spellStart"/>
      <w:r w:rsidRPr="00A22293">
        <w:rPr>
          <w:rFonts w:ascii="Times New Roman" w:hAnsi="Times New Roman" w:cs="Times New Roman"/>
        </w:rPr>
        <w:t>surveillance</w:t>
      </w:r>
      <w:proofErr w:type="spellEnd"/>
      <w:r w:rsidRPr="00A22293">
        <w:rPr>
          <w:rFonts w:ascii="Times New Roman" w:hAnsi="Times New Roman" w:cs="Times New Roman"/>
        </w:rPr>
        <w:t xml:space="preserve"> rendszerek működnek: az ECDC és az Európai Élelmiszerbiztonsági Hatóság (EFSA) közös éves jelentéseket ad ki az élelmiszerlánc mentén (állatokban, élelmiszerekben) és emberekben talált rezisztenciaadatokról, hogy nyomon követhessék a trendeket és értékelhessék az intézkedések </w:t>
      </w:r>
      <w:r w:rsidRPr="00A22293">
        <w:rPr>
          <w:rFonts w:ascii="Times New Roman" w:hAnsi="Times New Roman" w:cs="Times New Roman"/>
        </w:rPr>
        <w:lastRenderedPageBreak/>
        <w:t xml:space="preserve">hatását. Szintén uniós szinten futnak kutatási programok (pl. az EU </w:t>
      </w:r>
      <w:proofErr w:type="spellStart"/>
      <w:r w:rsidRPr="00A22293">
        <w:rPr>
          <w:rFonts w:ascii="Times New Roman" w:hAnsi="Times New Roman" w:cs="Times New Roman"/>
        </w:rPr>
        <w:t>Horizon</w:t>
      </w:r>
      <w:proofErr w:type="spellEnd"/>
      <w:r w:rsidRPr="00A22293">
        <w:rPr>
          <w:rFonts w:ascii="Times New Roman" w:hAnsi="Times New Roman" w:cs="Times New Roman"/>
        </w:rPr>
        <w:t xml:space="preserve"> keretében) új antibiotikumok és alternatív terápiák fejlesztésére, valamint az AMR mechanizmusainak jobb megértésére.</w:t>
      </w:r>
    </w:p>
    <w:p w14:paraId="188DFD60"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Nemzeti szinten majdnem minden ország elkészítette a saját AMR elleni akciótervét, melyek a helyi sajátosságokhoz igazodva, de 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alapelveit követve próbálják kezelni a problémát. Például a skandináv országokban már a 1990-es évektől kezdve tudatosan korlátozták az állattenyésztésben az antibiotikum-használatot, aminek eredményeként ott a legalacsonyabb az állatokból izolált rezisztens baktériumok aránya Európában, és ezt a humán egészségügy is megérzi (kevesebb rezisztens </w:t>
      </w:r>
      <w:proofErr w:type="spellStart"/>
      <w:r w:rsidRPr="00A22293">
        <w:rPr>
          <w:rFonts w:ascii="Times New Roman" w:hAnsi="Times New Roman" w:cs="Times New Roman"/>
        </w:rPr>
        <w:t>zoonózis</w:t>
      </w:r>
      <w:proofErr w:type="spellEnd"/>
      <w:r w:rsidRPr="00A22293">
        <w:rPr>
          <w:rFonts w:ascii="Times New Roman" w:hAnsi="Times New Roman" w:cs="Times New Roman"/>
        </w:rPr>
        <w:t xml:space="preserve"> fordul elő). Hollandiában törvényi úton csökkentették a farmok antibiotikum-fogyasztását, és 2009–2019 között mintegy 70%-os redukciót értek el, szigorú monitoring és az állatorvosi rendelés felügyelete mellett. Az Egyesült Királyságban 2019-ben indították el a második ötéves nemzeti AMR stratégiát, amely ambiciózus célokat tűzött ki mind az emberek, mind az állatok kezelésében alkalmazott antibiotikumok csökkentésére, valamint befektetési alapokat hozott létre az új antimikrobiális szerek kutatásának támogatására.</w:t>
      </w:r>
    </w:p>
    <w:p w14:paraId="1A3DFD68"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Magyarországon is léteznek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elvű intézkedések. Az Emberi Erőforrások Minisztériuma és az Agrárminisztérium együttműködésében működik az Országos Antibiotikum Bizottság, melynek feladatai közé tartozik a humán-egészségügy és az állategészségügy közötti kooperáció elősegítése az AMR elleni küzdelemben. Hazánk csatlakozott az európai </w:t>
      </w:r>
      <w:proofErr w:type="spellStart"/>
      <w:r w:rsidRPr="00A22293">
        <w:rPr>
          <w:rFonts w:ascii="Times New Roman" w:hAnsi="Times New Roman" w:cs="Times New Roman"/>
        </w:rPr>
        <w:t>surveillance</w:t>
      </w:r>
      <w:proofErr w:type="spellEnd"/>
      <w:r w:rsidRPr="00A22293">
        <w:rPr>
          <w:rFonts w:ascii="Times New Roman" w:hAnsi="Times New Roman" w:cs="Times New Roman"/>
        </w:rPr>
        <w:t xml:space="preserve"> programokhoz: rendszeresen jelentéseket készítünk a kórházi fertőzésekről és a rezisztenciáról (pl. Európai Antibiotikum Nap alkalmából publikált hazai adatok), valamint a NÉBIH koordinálásával </w:t>
      </w:r>
      <w:proofErr w:type="spellStart"/>
      <w:r w:rsidRPr="00A22293">
        <w:rPr>
          <w:rFonts w:ascii="Times New Roman" w:hAnsi="Times New Roman" w:cs="Times New Roman"/>
        </w:rPr>
        <w:t>monitorozzuk</w:t>
      </w:r>
      <w:proofErr w:type="spellEnd"/>
      <w:r w:rsidRPr="00A22293">
        <w:rPr>
          <w:rFonts w:ascii="Times New Roman" w:hAnsi="Times New Roman" w:cs="Times New Roman"/>
        </w:rPr>
        <w:t xml:space="preserve"> az élelmiszerláncban (vágóhídi mintákban, kiskereskedelmi élelmiszerekben) előforduló rezisztens baktériumokat. Magyarország Nemzeti Népegészségügyi Központja szintén kiemelt területként kezeli az AMR kérdését: szakmai irányelveket adott ki az antibiotikumok helyes alkalmazásáról a kórházaknak, és támogatja az infekciókontroll tevékenységeket. Az “Egészséges Magyarország 2021-2027” egészségügyi stratégiai programba is bekerült az antimikrobiális rezisztencia elleni küzdelem, jelezve a probléma fontosságát. Az ilyen nemzeti stratégiák közös nevezője, hogy egyszerre célozzák a megelőzést, a racionalizált szerhasználatot és az oktatást: például kampányok indultak az orvosok és a lakosság számára az antibiotikumok felelős használatának népszerűsítésére, míg az állattenyésztők számára támogatást nyújtanak az állategészségügyi beruházásokhoz (istállóhigiénia javítása, vakcinázási programok), ezzel is csökkentve az antibiotikum-igényt.</w:t>
      </w:r>
    </w:p>
    <w:p w14:paraId="572F34BB"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Összességében 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Health-alapú stratégiák lényege, hogy minden lehetséges ponton “megszakítsák” a rezisztencia kialakulásának és terjedésének láncolatát. Ide tartozik a gyógyszerek megfontolt felírása és kiadása, a betegek és gazdálkodók oktatása, a fertőzések megelőzése oltásokkal és higiénés intézkedésekkel, a szigorúbb szabályozás (pl. csak állatorvosi receptre lehessen antibiotikumot adni állatoknak), az alternatívák keresése (mint az új oltóanyagok kifejlesztése bizonyos állatbetegségek ellen, hogy ne kelljen antibiotikumot használni), valamint a nemzetközi információcsere és kutatás támogatása. A legjobb eredmények azokban az országokban mutatkoznak, ahol a kormányzati akarat, a szakmai szervezetek és a civil szféra egyaránt elkötelezetten együttműködik – hiszen 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megközelítés megvalósítása társadalmi összefogást igényel.</w:t>
      </w:r>
    </w:p>
    <w:p w14:paraId="4906BB61" w14:textId="77777777" w:rsidR="00195DC0" w:rsidRPr="00566AB6" w:rsidRDefault="00A22293" w:rsidP="00A22293">
      <w:pPr>
        <w:pStyle w:val="Cmsor2"/>
        <w:jc w:val="both"/>
        <w:rPr>
          <w:rFonts w:ascii="Times New Roman" w:hAnsi="Times New Roman" w:cs="Times New Roman"/>
          <w:sz w:val="24"/>
          <w:szCs w:val="24"/>
        </w:rPr>
      </w:pPr>
      <w:bookmarkStart w:id="9" w:name="jövőbeli-kihívások-és-kutatási-irányok"/>
      <w:bookmarkEnd w:id="8"/>
      <w:r w:rsidRPr="00566AB6">
        <w:rPr>
          <w:rFonts w:ascii="Times New Roman" w:hAnsi="Times New Roman" w:cs="Times New Roman"/>
          <w:sz w:val="24"/>
          <w:szCs w:val="24"/>
        </w:rPr>
        <w:lastRenderedPageBreak/>
        <w:t>Jövőbeli kihívások és kutatási irányok</w:t>
      </w:r>
    </w:p>
    <w:p w14:paraId="224F6317" w14:textId="77777777" w:rsidR="00195DC0" w:rsidRPr="00A22293" w:rsidRDefault="00A22293" w:rsidP="00A22293">
      <w:pPr>
        <w:pStyle w:val="FirstParagraph"/>
        <w:jc w:val="both"/>
        <w:rPr>
          <w:rFonts w:ascii="Times New Roman" w:hAnsi="Times New Roman" w:cs="Times New Roman"/>
        </w:rPr>
      </w:pPr>
      <w:r w:rsidRPr="00A22293">
        <w:rPr>
          <w:rFonts w:ascii="Times New Roman" w:hAnsi="Times New Roman" w:cs="Times New Roman"/>
        </w:rPr>
        <w:t xml:space="preserve">Az antimikrobiális rezisztencia elleni küzdelem hosszú távon is kihívások sorát állítja a tudomány és az egészségügy elé. Az egyik fő probléma, hogy az antibiotikumok fejlesztése lépést kellene tartson a rezisztencia terjedésével, de az elmúlt évtizedekben kevés új hatóanyagot sikerült bevezetni. A gyógyszergyártók számára az antibiotikum fejlesztés anyagilag kevésbé vonzó (hiszen az új szert tartalékolni kell, keveset használnák, és a rezisztencia hamar megjelenhet), ezért kormányzati és nemzetközi ösztönzőkre (pl. kutatás-finanszírozás, új üzleti modellek) van szükség az innováció serkentéséhez. Ígéretes kutatási irányok vannak folyamatban: például új, eddig kiaknázatlan támadáspontú antibiotikumok keresése (különösen a </w:t>
      </w:r>
      <w:proofErr w:type="spellStart"/>
      <w:r w:rsidRPr="00A22293">
        <w:rPr>
          <w:rFonts w:ascii="Times New Roman" w:hAnsi="Times New Roman" w:cs="Times New Roman"/>
        </w:rPr>
        <w:t>Gram</w:t>
      </w:r>
      <w:proofErr w:type="spellEnd"/>
      <w:r w:rsidRPr="00A22293">
        <w:rPr>
          <w:rFonts w:ascii="Times New Roman" w:hAnsi="Times New Roman" w:cs="Times New Roman"/>
        </w:rPr>
        <w:t xml:space="preserve">-negatív baktériumok ellen), vagy a meglévő gyógyszerek hatékonyságának növelése kombinációs terápiával (pl. antibiotikum + rezisztenciagátló adalék kombinációk kifejlesztése). Emellett előtérbe kerültek az antibiotikumokat helyettesítő alternatívák is. Ilyen az ősi ötletnek számító bakteriofág-terápia, amely során vírusokkal pusztítják a baktériumokat szelektíven – ez a megközelítés újra a figyelem középpontjába került, és klinikai kutatások folynak a biztonságos és hatékony alkalmazásáról. Szintén kutatják az úgynevezett antimikrobiális </w:t>
      </w:r>
      <w:proofErr w:type="spellStart"/>
      <w:r w:rsidRPr="00A22293">
        <w:rPr>
          <w:rFonts w:ascii="Times New Roman" w:hAnsi="Times New Roman" w:cs="Times New Roman"/>
        </w:rPr>
        <w:t>peptidek</w:t>
      </w:r>
      <w:proofErr w:type="spellEnd"/>
      <w:r w:rsidRPr="00A22293">
        <w:rPr>
          <w:rFonts w:ascii="Times New Roman" w:hAnsi="Times New Roman" w:cs="Times New Roman"/>
        </w:rPr>
        <w:t xml:space="preserve"> (AMP-ok) alkalmazását, melyek a természetes immunrendszer által is használt rövid fehérjék, és sok baktérium ellen hatékonyak lehetnek. Egy másik stratégia a baktériumok “fegyvereinek” kiiktatása anélkül, hogy magát a baktériumot megölnénk: az </w:t>
      </w:r>
      <w:proofErr w:type="spellStart"/>
      <w:r w:rsidRPr="00A22293">
        <w:rPr>
          <w:rFonts w:ascii="Times New Roman" w:hAnsi="Times New Roman" w:cs="Times New Roman"/>
        </w:rPr>
        <w:t>antivirulencia</w:t>
      </w:r>
      <w:proofErr w:type="spellEnd"/>
      <w:r w:rsidRPr="00A22293">
        <w:rPr>
          <w:rFonts w:ascii="Times New Roman" w:hAnsi="Times New Roman" w:cs="Times New Roman"/>
        </w:rPr>
        <w:t xml:space="preserve"> terápiák a kórokozók fertőzőképességét csökkentik (például toxinok termelését gátolják), így könnyebben elbánik velük az immunrendszer és kisebb a szelekciós nyomás a rezisztencia kialakulására. Kísérleti stádiumban van továbbá a génszerkesztési technológiák (pl. CRISPR/Cas9) alkalmazása is baktériumok ellen, amellyel elvileg specifikusan “kivághatók” lennének a rezisztenciagének a kórokozókból – ez azonban még távol van a gyakorlati alkalmazástól.</w:t>
      </w:r>
    </w:p>
    <w:p w14:paraId="5A991D94"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A jövőben kulcsfontosságú lesz a diagnosztikai eszközök fejlesztése is. A jelenlegi gyakorlatban az orvosok sokszor kénytelenek széles spektrumú antibiotikumot adni “vaktában” egy fertőzésre, mert a kórokozó azonosítása és rezisztenciájának meghatározása napokig eltarthat. Számos kutatás irányul gyors, </w:t>
      </w:r>
      <w:proofErr w:type="spellStart"/>
      <w:r w:rsidRPr="00A22293">
        <w:rPr>
          <w:rFonts w:ascii="Times New Roman" w:hAnsi="Times New Roman" w:cs="Times New Roman"/>
        </w:rPr>
        <w:t>point</w:t>
      </w:r>
      <w:proofErr w:type="spellEnd"/>
      <w:r w:rsidRPr="00A22293">
        <w:rPr>
          <w:rFonts w:ascii="Times New Roman" w:hAnsi="Times New Roman" w:cs="Times New Roman"/>
        </w:rPr>
        <w:t>-of-</w:t>
      </w:r>
      <w:proofErr w:type="spellStart"/>
      <w:r w:rsidRPr="00A22293">
        <w:rPr>
          <w:rFonts w:ascii="Times New Roman" w:hAnsi="Times New Roman" w:cs="Times New Roman"/>
        </w:rPr>
        <w:t>care</w:t>
      </w:r>
      <w:proofErr w:type="spellEnd"/>
      <w:r w:rsidRPr="00A22293">
        <w:rPr>
          <w:rFonts w:ascii="Times New Roman" w:hAnsi="Times New Roman" w:cs="Times New Roman"/>
        </w:rPr>
        <w:t xml:space="preserve"> diagnosztikai tesztekre (például olyan genetikai vagy </w:t>
      </w:r>
      <w:proofErr w:type="spellStart"/>
      <w:r w:rsidRPr="00A22293">
        <w:rPr>
          <w:rFonts w:ascii="Times New Roman" w:hAnsi="Times New Roman" w:cs="Times New Roman"/>
        </w:rPr>
        <w:t>bioszenzoros</w:t>
      </w:r>
      <w:proofErr w:type="spellEnd"/>
      <w:r w:rsidRPr="00A22293">
        <w:rPr>
          <w:rFonts w:ascii="Times New Roman" w:hAnsi="Times New Roman" w:cs="Times New Roman"/>
        </w:rPr>
        <w:t xml:space="preserve"> vizsgálatokra, amelyek percek alatt kimutatják egy vér- vagy vizeletmintából a baktérium faját és főbb rezisztenciáit). Ha ezek elérhetővé válnak, az orvos </w:t>
      </w:r>
      <w:proofErr w:type="spellStart"/>
      <w:r w:rsidRPr="00A22293">
        <w:rPr>
          <w:rFonts w:ascii="Times New Roman" w:hAnsi="Times New Roman" w:cs="Times New Roman"/>
        </w:rPr>
        <w:t>célzottabban</w:t>
      </w:r>
      <w:proofErr w:type="spellEnd"/>
      <w:r w:rsidRPr="00A22293">
        <w:rPr>
          <w:rFonts w:ascii="Times New Roman" w:hAnsi="Times New Roman" w:cs="Times New Roman"/>
        </w:rPr>
        <w:t xml:space="preserve"> választhatja ki a szert, ami csökkenti a felesleges antibiotikum-használatot és a rezisztens törzsek </w:t>
      </w:r>
      <w:proofErr w:type="spellStart"/>
      <w:r w:rsidRPr="00A22293">
        <w:rPr>
          <w:rFonts w:ascii="Times New Roman" w:hAnsi="Times New Roman" w:cs="Times New Roman"/>
        </w:rPr>
        <w:t>szelektálódását</w:t>
      </w:r>
      <w:proofErr w:type="spellEnd"/>
      <w:r w:rsidRPr="00A22293">
        <w:rPr>
          <w:rFonts w:ascii="Times New Roman" w:hAnsi="Times New Roman" w:cs="Times New Roman"/>
        </w:rPr>
        <w:t xml:space="preserve">. Hasonlóképpen, a kórházi mikrobiológiai laborokban is terjed a korszerű technológiák használata (például teljes genom </w:t>
      </w:r>
      <w:proofErr w:type="spellStart"/>
      <w:r w:rsidRPr="00A22293">
        <w:rPr>
          <w:rFonts w:ascii="Times New Roman" w:hAnsi="Times New Roman" w:cs="Times New Roman"/>
        </w:rPr>
        <w:t>szekvenálás</w:t>
      </w:r>
      <w:proofErr w:type="spellEnd"/>
      <w:r w:rsidRPr="00A22293">
        <w:rPr>
          <w:rFonts w:ascii="Times New Roman" w:hAnsi="Times New Roman" w:cs="Times New Roman"/>
        </w:rPr>
        <w:t>), ami lehetővé teszi járványok rezisztencia-mintázatának precíz nyomon követését, és akár egy-egy rezisztenciagén terjedési útvonalának feltérképezését is. Ezek az adatok segítenek beavatkozási pontokat találni (pl. izolálási intézkedéseket hozni a kórházban, vagy egy élelmiszerfeldolgozó üzemben megtalálni a fertőzés forrását).</w:t>
      </w:r>
    </w:p>
    <w:p w14:paraId="3F10A7C2"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Az oltóanyag-fejlesztés szintén a jövő egyik fontos iránya. Számos bakteriális kórokozó ellen nincs még hatékony vakcina, pedig egy sikeres oltás kettős haszonnal jár: megvédi a populációt a fertőzéstől és ezáltal csökkenti az antibiotikumok alkalmazásának igényét is. Például folynak kutatások egy univerzális influenza elleni vakcina mellett bakteriális tüdőgyulladást okozó kórokozók (mint a </w:t>
      </w:r>
      <w:proofErr w:type="spellStart"/>
      <w:r w:rsidRPr="00A22293">
        <w:rPr>
          <w:rFonts w:ascii="Times New Roman" w:hAnsi="Times New Roman" w:cs="Times New Roman"/>
        </w:rPr>
        <w:t>Streptococcus</w:t>
      </w:r>
      <w:proofErr w:type="spellEnd"/>
      <w:r w:rsidRPr="00A22293">
        <w:rPr>
          <w:rFonts w:ascii="Times New Roman" w:hAnsi="Times New Roman" w:cs="Times New Roman"/>
        </w:rPr>
        <w:t xml:space="preserve"> </w:t>
      </w:r>
      <w:proofErr w:type="spellStart"/>
      <w:r w:rsidRPr="00A22293">
        <w:rPr>
          <w:rFonts w:ascii="Times New Roman" w:hAnsi="Times New Roman" w:cs="Times New Roman"/>
        </w:rPr>
        <w:t>pneumoniae</w:t>
      </w:r>
      <w:proofErr w:type="spellEnd"/>
      <w:r w:rsidRPr="00A22293">
        <w:rPr>
          <w:rFonts w:ascii="Times New Roman" w:hAnsi="Times New Roman" w:cs="Times New Roman"/>
        </w:rPr>
        <w:t xml:space="preserve"> további </w:t>
      </w:r>
      <w:proofErr w:type="spellStart"/>
      <w:r w:rsidRPr="00A22293">
        <w:rPr>
          <w:rFonts w:ascii="Times New Roman" w:hAnsi="Times New Roman" w:cs="Times New Roman"/>
        </w:rPr>
        <w:t>szerotípusai</w:t>
      </w:r>
      <w:proofErr w:type="spellEnd"/>
      <w:r w:rsidRPr="00A22293">
        <w:rPr>
          <w:rFonts w:ascii="Times New Roman" w:hAnsi="Times New Roman" w:cs="Times New Roman"/>
        </w:rPr>
        <w:t xml:space="preserve"> vagy a </w:t>
      </w:r>
      <w:proofErr w:type="spellStart"/>
      <w:r w:rsidRPr="00A22293">
        <w:rPr>
          <w:rFonts w:ascii="Times New Roman" w:hAnsi="Times New Roman" w:cs="Times New Roman"/>
        </w:rPr>
        <w:t>Staphylococcus</w:t>
      </w:r>
      <w:proofErr w:type="spellEnd"/>
      <w:r w:rsidRPr="00A22293">
        <w:rPr>
          <w:rFonts w:ascii="Times New Roman" w:hAnsi="Times New Roman" w:cs="Times New Roman"/>
        </w:rPr>
        <w:t xml:space="preserve"> </w:t>
      </w:r>
      <w:proofErr w:type="spellStart"/>
      <w:r w:rsidRPr="00A22293">
        <w:rPr>
          <w:rFonts w:ascii="Times New Roman" w:hAnsi="Times New Roman" w:cs="Times New Roman"/>
        </w:rPr>
        <w:t>aureus</w:t>
      </w:r>
      <w:proofErr w:type="spellEnd"/>
      <w:r w:rsidRPr="00A22293">
        <w:rPr>
          <w:rFonts w:ascii="Times New Roman" w:hAnsi="Times New Roman" w:cs="Times New Roman"/>
        </w:rPr>
        <w:t>) elleni oltások kifejlesztésére is. Az állatgyógyászatban is nagy szükség van új vakcinákra: ha a jövőben létezne például hatékony vakcina a sertések bizonyos légzőszervi betegségei vagy a szarvasmarhák tőgygyulladása ellen, azzal drasztikusan csökkenthető lenne az antibiotikum-használat az állattartásban.</w:t>
      </w:r>
    </w:p>
    <w:p w14:paraId="7D009404"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lastRenderedPageBreak/>
        <w:t xml:space="preserve">Társadalmi szempontból kihívást jelent a szemléletformálás és az egészségügyi rendszerek megerősítése világszerte. A fejlett országokban is folyamatos erőfeszítés kell ahhoz, hogy az orvosok, állatorvosok naprakészek legyenek az új irányelvekben és rezisztencia-adatokban, és hogy a betegek elfogadják: nem minden bajra jelent megoldást egy antibiotikum. A fejlődő világban pedig sok helyen az alapvető antibiotikumokhoz való hozzáférés és a laboratóriumi háttér hiánya is gondot okoz – ez oda vezet, hogy gyakran rossz minőségű vagy nem megfelelő szereket használnak, ami elősegíti a rezisztencia kialakulását. A nemzetközi együttműködésnek ki kell terjednie arra is, hogy ezeket a </w:t>
      </w:r>
      <w:proofErr w:type="spellStart"/>
      <w:r w:rsidRPr="00A22293">
        <w:rPr>
          <w:rFonts w:ascii="Times New Roman" w:hAnsi="Times New Roman" w:cs="Times New Roman"/>
        </w:rPr>
        <w:t>kapacitásbeli</w:t>
      </w:r>
      <w:proofErr w:type="spellEnd"/>
      <w:r w:rsidRPr="00A22293">
        <w:rPr>
          <w:rFonts w:ascii="Times New Roman" w:hAnsi="Times New Roman" w:cs="Times New Roman"/>
        </w:rPr>
        <w:t xml:space="preserve"> különbségeket csökkentsük: például támogatni kell a laborkapacitások kiépítését, a szakemberek képzését és a szabályozások bevezetését minden országban.</w:t>
      </w:r>
    </w:p>
    <w:p w14:paraId="1A3B55CA" w14:textId="77777777" w:rsidR="00195DC0" w:rsidRPr="00A22293" w:rsidRDefault="00A22293" w:rsidP="00A22293">
      <w:pPr>
        <w:pStyle w:val="Szvegtrzs"/>
        <w:jc w:val="both"/>
        <w:rPr>
          <w:rFonts w:ascii="Times New Roman" w:hAnsi="Times New Roman" w:cs="Times New Roman"/>
        </w:rPr>
      </w:pPr>
      <w:r w:rsidRPr="00A22293">
        <w:rPr>
          <w:rFonts w:ascii="Times New Roman" w:hAnsi="Times New Roman" w:cs="Times New Roman"/>
        </w:rPr>
        <w:t xml:space="preserve">Végezetül, az antimikrobiális rezisztencia elleni harcban a jövő egyik legnagyobb kihívása maga a bakteriális evolúció: a mikroorganizmusok alkalmazkodóképessége végtelen variációt képes létrehozni, így valószínűleg mindig lesznek új rezisztencia-mechanizmusok. Ezt a “fegyverkezési versenyt” hosszú távon csak úgy nyerhetjük meg, ha rendszerszinten csökkentjük a nyomást (kevesebb indokolatlan antibiotikum-használat), és ezzel időt nyerünk az új megoldások kidolgozásához. A </w:t>
      </w:r>
      <w:proofErr w:type="spellStart"/>
      <w:r w:rsidRPr="00A22293">
        <w:rPr>
          <w:rFonts w:ascii="Times New Roman" w:hAnsi="Times New Roman" w:cs="Times New Roman"/>
        </w:rPr>
        <w:t>One</w:t>
      </w:r>
      <w:proofErr w:type="spellEnd"/>
      <w:r w:rsidRPr="00A22293">
        <w:rPr>
          <w:rFonts w:ascii="Times New Roman" w:hAnsi="Times New Roman" w:cs="Times New Roman"/>
        </w:rPr>
        <w:t xml:space="preserve"> Health szemlélet a jövőben is iránymutató lesz: az emberi és állati egészségügy, a tudományos kutatás és a közösség együttműködése nélkülözhetetlen ahhoz, hogy úrrá legyünk ezen a globális problémán. A következő években a cél nem csupán új “csodagyógyszerek” felfedezése, hanem egy fenntarthatóbb kapcsolat kialakítása a mikrobákkal – amelyben a megelőzés, a felelős gyógyszerhasználat és a folyamatos innováció egyaránt szerepet kap.</w:t>
      </w:r>
    </w:p>
    <w:bookmarkEnd w:id="9"/>
    <w:bookmarkEnd w:id="1"/>
    <w:bookmarkEnd w:id="2"/>
    <w:p w14:paraId="7156F56E" w14:textId="77777777" w:rsidR="00195DC0" w:rsidRPr="00A22293" w:rsidRDefault="002C37F4" w:rsidP="00A22293">
      <w:pPr>
        <w:jc w:val="both"/>
        <w:rPr>
          <w:rFonts w:ascii="Times New Roman" w:hAnsi="Times New Roman" w:cs="Times New Roman"/>
        </w:rPr>
      </w:pPr>
      <w:r>
        <w:rPr>
          <w:rFonts w:ascii="Times New Roman" w:hAnsi="Times New Roman" w:cs="Times New Roman"/>
        </w:rPr>
        <w:pict w14:anchorId="30126F01">
          <v:rect id="_x0000_i1025" style="width:0;height:1.5pt" o:hralign="center" o:hrstd="t" o:hr="t"/>
        </w:pict>
      </w:r>
      <w:bookmarkStart w:id="10" w:name="citations"/>
      <w:bookmarkEnd w:id="10"/>
    </w:p>
    <w:sectPr w:rsidR="00195DC0" w:rsidRPr="00A22293">
      <w:footerReference w:type="default" r:id="rId7"/>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8EF26" w14:textId="77777777" w:rsidR="002C37F4" w:rsidRDefault="002C37F4" w:rsidP="002C37F4">
      <w:pPr>
        <w:spacing w:after="0"/>
      </w:pPr>
      <w:r>
        <w:separator/>
      </w:r>
    </w:p>
  </w:endnote>
  <w:endnote w:type="continuationSeparator" w:id="0">
    <w:p w14:paraId="35CB37FA" w14:textId="77777777" w:rsidR="002C37F4" w:rsidRDefault="002C37F4" w:rsidP="002C37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780993"/>
      <w:docPartObj>
        <w:docPartGallery w:val="Page Numbers (Bottom of Page)"/>
        <w:docPartUnique/>
      </w:docPartObj>
    </w:sdtPr>
    <w:sdtContent>
      <w:p w14:paraId="46F71587" w14:textId="537FB6F3" w:rsidR="002C37F4" w:rsidRDefault="002C37F4">
        <w:pPr>
          <w:pStyle w:val="llb"/>
          <w:jc w:val="center"/>
        </w:pPr>
        <w:r>
          <w:fldChar w:fldCharType="begin"/>
        </w:r>
        <w:r>
          <w:instrText>PAGE   \* MERGEFORMAT</w:instrText>
        </w:r>
        <w:r>
          <w:fldChar w:fldCharType="separate"/>
        </w:r>
        <w:r>
          <w:rPr>
            <w:lang w:val="hu-HU"/>
          </w:rPr>
          <w:t>2</w:t>
        </w:r>
        <w:r>
          <w:fldChar w:fldCharType="end"/>
        </w:r>
      </w:p>
    </w:sdtContent>
  </w:sdt>
  <w:p w14:paraId="779FA8A5" w14:textId="77777777" w:rsidR="002C37F4" w:rsidRDefault="002C37F4">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D6BC3" w14:textId="77777777" w:rsidR="002C37F4" w:rsidRDefault="002C37F4" w:rsidP="002C37F4">
      <w:pPr>
        <w:spacing w:after="0"/>
      </w:pPr>
      <w:r>
        <w:separator/>
      </w:r>
    </w:p>
  </w:footnote>
  <w:footnote w:type="continuationSeparator" w:id="0">
    <w:p w14:paraId="4479A712" w14:textId="77777777" w:rsidR="002C37F4" w:rsidRDefault="002C37F4" w:rsidP="002C37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74E4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47392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C0"/>
    <w:rsid w:val="00195DC0"/>
    <w:rsid w:val="002C37F4"/>
    <w:rsid w:val="003E27D3"/>
    <w:rsid w:val="00566AB6"/>
    <w:rsid w:val="006B1123"/>
    <w:rsid w:val="00725C81"/>
    <w:rsid w:val="0089725E"/>
    <w:rsid w:val="00A22293"/>
    <w:rsid w:val="00E73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E203A8"/>
  <w15:docId w15:val="{0847D71E-3902-4AF9-95CA-C220A3A0A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hu"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style>
  <w:style w:type="paragraph" w:styleId="Cmsor1">
    <w:name w:val="heading 1"/>
    <w:basedOn w:val="Norml"/>
    <w:next w:val="Szvegtrzs"/>
    <w:link w:val="Cmsor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Szvegtrzs"/>
    <w:link w:val="Cmsor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Szvegtrzs"/>
    <w:link w:val="Cmsor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Szvegtrzs"/>
    <w:link w:val="Cmsor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Szvegtrzs"/>
    <w:link w:val="Cmsor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Szvegtrzs"/>
    <w:link w:val="Cmsor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Szvegtrzs"/>
    <w:link w:val="Cmsor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Szvegtrzs"/>
    <w:link w:val="Cmsor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Szvegtrzs"/>
    <w:link w:val="Cmsor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Szvegtrzs">
    <w:name w:val="Body Text"/>
    <w:basedOn w:val="Norml"/>
    <w:qFormat/>
    <w:pPr>
      <w:spacing w:before="180" w:after="180"/>
    </w:pPr>
  </w:style>
  <w:style w:type="paragraph" w:customStyle="1" w:styleId="FirstParagraph">
    <w:name w:val="First Paragraph"/>
    <w:basedOn w:val="Szvegtrzs"/>
    <w:next w:val="Szvegtrzs"/>
    <w:qFormat/>
  </w:style>
  <w:style w:type="paragraph" w:customStyle="1" w:styleId="Compact">
    <w:name w:val="Compact"/>
    <w:basedOn w:val="Szvegtrzs"/>
    <w:qFormat/>
    <w:pPr>
      <w:spacing w:before="36" w:after="36"/>
    </w:pPr>
  </w:style>
  <w:style w:type="paragraph" w:styleId="Cm">
    <w:name w:val="Title"/>
    <w:basedOn w:val="Norml"/>
    <w:next w:val="Szvegtrzs"/>
    <w:link w:val="Cm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10FD9"/>
    <w:rPr>
      <w:rFonts w:asciiTheme="majorHAnsi" w:eastAsiaTheme="majorEastAsia" w:hAnsiTheme="majorHAnsi" w:cstheme="majorBidi"/>
      <w:spacing w:val="-10"/>
      <w:kern w:val="28"/>
      <w:sz w:val="56"/>
      <w:szCs w:val="56"/>
    </w:rPr>
  </w:style>
  <w:style w:type="paragraph" w:styleId="Alcm">
    <w:name w:val="Subtitle"/>
    <w:basedOn w:val="Cm"/>
    <w:next w:val="Szvegtrzs"/>
    <w:link w:val="AlcmChar"/>
    <w:uiPriority w:val="11"/>
    <w:qFormat/>
    <w:rsid w:val="00A10FD9"/>
    <w:pPr>
      <w:numPr>
        <w:ilvl w:val="1"/>
      </w:numPr>
    </w:pPr>
    <w:rPr>
      <w:spacing w:val="15"/>
      <w:sz w:val="28"/>
      <w:szCs w:val="28"/>
    </w:rPr>
  </w:style>
  <w:style w:type="character" w:customStyle="1" w:styleId="AlcmChar">
    <w:name w:val="Alcím Char"/>
    <w:basedOn w:val="Bekezdsalapbettpusa"/>
    <w:link w:val="Alcm"/>
    <w:uiPriority w:val="11"/>
    <w:rsid w:val="00A10FD9"/>
    <w:rPr>
      <w:rFonts w:eastAsiaTheme="majorEastAsia" w:cstheme="majorBidi"/>
      <w:color w:val="595959" w:themeColor="text1" w:themeTint="A6"/>
      <w:spacing w:val="15"/>
      <w:sz w:val="28"/>
      <w:szCs w:val="28"/>
    </w:rPr>
  </w:style>
  <w:style w:type="paragraph" w:customStyle="1" w:styleId="Author">
    <w:name w:val="Author"/>
    <w:next w:val="Szvegtrzs"/>
    <w:qFormat/>
    <w:pPr>
      <w:keepNext/>
      <w:keepLines/>
      <w:jc w:val="center"/>
    </w:pPr>
  </w:style>
  <w:style w:type="paragraph" w:styleId="Dtum">
    <w:name w:val="Date"/>
    <w:next w:val="Szvegtrzs"/>
    <w:qFormat/>
    <w:pPr>
      <w:keepNext/>
      <w:keepLines/>
      <w:jc w:val="center"/>
    </w:pPr>
  </w:style>
  <w:style w:type="paragraph" w:customStyle="1" w:styleId="AbstractTitle">
    <w:name w:val="Abstract Title"/>
    <w:basedOn w:val="Norml"/>
    <w:next w:val="Abstract"/>
    <w:qFormat/>
    <w:pPr>
      <w:keepNext/>
      <w:keepLines/>
      <w:spacing w:before="300" w:after="0"/>
      <w:jc w:val="center"/>
    </w:pPr>
    <w:rPr>
      <w:b/>
      <w:sz w:val="20"/>
      <w:szCs w:val="20"/>
    </w:rPr>
  </w:style>
  <w:style w:type="paragraph" w:customStyle="1" w:styleId="Abstract">
    <w:name w:val="Abstract"/>
    <w:basedOn w:val="Norml"/>
    <w:next w:val="Szvegtrzs"/>
    <w:qFormat/>
    <w:pPr>
      <w:keepNext/>
      <w:keepLines/>
      <w:spacing w:before="100" w:after="300"/>
    </w:pPr>
    <w:rPr>
      <w:sz w:val="20"/>
      <w:szCs w:val="20"/>
    </w:rPr>
  </w:style>
  <w:style w:type="paragraph" w:styleId="Irodalomjegyzk">
    <w:name w:val="Bibliography"/>
    <w:basedOn w:val="Norml"/>
    <w:qFormat/>
  </w:style>
  <w:style w:type="character" w:customStyle="1" w:styleId="Cmsor1Char">
    <w:name w:val="Címsor 1 Char"/>
    <w:basedOn w:val="Bekezdsalapbettpusa"/>
    <w:link w:val="Cmsor1"/>
    <w:uiPriority w:val="9"/>
    <w:rsid w:val="00A10FD9"/>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A10FD9"/>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10FD9"/>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10FD9"/>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10FD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10FD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10FD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10FD9"/>
    <w:rPr>
      <w:rFonts w:eastAsiaTheme="majorEastAsia" w:cstheme="majorBidi"/>
      <w:color w:val="272727" w:themeColor="text1" w:themeTint="D8"/>
    </w:rPr>
  </w:style>
  <w:style w:type="paragraph" w:styleId="Szvegblokk">
    <w:name w:val="Block Text"/>
    <w:basedOn w:val="Szvegtrzs"/>
    <w:next w:val="Szvegtrzs"/>
    <w:uiPriority w:val="9"/>
    <w:unhideWhenUsed/>
    <w:qFormat/>
    <w:pPr>
      <w:spacing w:before="100" w:after="100"/>
      <w:ind w:left="480" w:right="480"/>
    </w:pPr>
  </w:style>
  <w:style w:type="paragraph" w:styleId="Lbjegyzetszveg">
    <w:name w:val="footnote text"/>
    <w:basedOn w:val="Norml"/>
    <w:uiPriority w:val="9"/>
    <w:unhideWhenUsed/>
    <w:qFormat/>
  </w:style>
  <w:style w:type="paragraph" w:customStyle="1" w:styleId="FootnoteBlockText">
    <w:name w:val="Footnote Block Text"/>
    <w:basedOn w:val="Lbjegyzetszveg"/>
    <w:next w:val="Lbjegyzetszveg"/>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
    <w:next w:val="Definition"/>
    <w:pPr>
      <w:keepNext/>
      <w:keepLines/>
      <w:spacing w:after="0"/>
    </w:pPr>
    <w:rPr>
      <w:b/>
    </w:rPr>
  </w:style>
  <w:style w:type="paragraph" w:customStyle="1" w:styleId="Definition">
    <w:name w:val="Definition"/>
    <w:basedOn w:val="Norml"/>
  </w:style>
  <w:style w:type="paragraph" w:styleId="Kpalrs">
    <w:name w:val="caption"/>
    <w:basedOn w:val="Norml"/>
    <w:link w:val="KpalrsChar"/>
    <w:pPr>
      <w:spacing w:after="120"/>
    </w:pPr>
    <w:rPr>
      <w:i/>
    </w:rPr>
  </w:style>
  <w:style w:type="paragraph" w:customStyle="1" w:styleId="TableCaption">
    <w:name w:val="Table Caption"/>
    <w:basedOn w:val="Kpalrs"/>
    <w:pPr>
      <w:keepNext/>
    </w:pPr>
  </w:style>
  <w:style w:type="paragraph" w:customStyle="1" w:styleId="ImageCaption">
    <w:name w:val="Image Caption"/>
    <w:basedOn w:val="Kpalrs"/>
  </w:style>
  <w:style w:type="paragraph" w:customStyle="1" w:styleId="Figure">
    <w:name w:val="Figure"/>
    <w:basedOn w:val="Norml"/>
  </w:style>
  <w:style w:type="paragraph" w:customStyle="1" w:styleId="CaptionedFigure">
    <w:name w:val="Captioned Figure"/>
    <w:basedOn w:val="Figure"/>
    <w:pPr>
      <w:keepNext/>
    </w:pPr>
  </w:style>
  <w:style w:type="character" w:customStyle="1" w:styleId="KpalrsChar">
    <w:name w:val="Képaláírás Char"/>
    <w:basedOn w:val="Bekezdsalapbettpusa"/>
    <w:link w:val="Kpalrs"/>
  </w:style>
  <w:style w:type="character" w:customStyle="1" w:styleId="VerbatimChar">
    <w:name w:val="Verbatim Char"/>
    <w:basedOn w:val="KpalrsChar"/>
    <w:link w:val="SourceCode"/>
    <w:rPr>
      <w:rFonts w:ascii="Consolas" w:hAnsi="Consolas"/>
      <w:sz w:val="22"/>
    </w:rPr>
  </w:style>
  <w:style w:type="character" w:customStyle="1" w:styleId="SectionNumber">
    <w:name w:val="Section Number"/>
    <w:basedOn w:val="KpalrsChar"/>
  </w:style>
  <w:style w:type="character" w:styleId="Lbjegyzet-hivatkozs">
    <w:name w:val="footnote reference"/>
    <w:basedOn w:val="KpalrsChar"/>
    <w:rPr>
      <w:vertAlign w:val="superscript"/>
    </w:rPr>
  </w:style>
  <w:style w:type="character" w:styleId="Hiperhivatkozs">
    <w:name w:val="Hyperlink"/>
    <w:basedOn w:val="KpalrsChar"/>
    <w:rPr>
      <w:color w:val="156082" w:themeColor="accent1"/>
    </w:rPr>
  </w:style>
  <w:style w:type="paragraph" w:styleId="Tartalomjegyzkcmsora">
    <w:name w:val="TOC Heading"/>
    <w:basedOn w:val="Cmsor1"/>
    <w:next w:val="Szvegtrzs"/>
    <w:uiPriority w:val="39"/>
    <w:unhideWhenUsed/>
    <w:qFormat/>
    <w:pPr>
      <w:spacing w:before="240" w:line="259" w:lineRule="auto"/>
      <w:outlineLvl w:val="9"/>
    </w:pPr>
  </w:style>
  <w:style w:type="paragraph" w:customStyle="1" w:styleId="SourceCode">
    <w:name w:val="Source Code"/>
    <w:basedOn w:val="Norm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fej">
    <w:name w:val="header"/>
    <w:basedOn w:val="Norml"/>
    <w:link w:val="lfejChar"/>
    <w:rsid w:val="002C37F4"/>
    <w:pPr>
      <w:tabs>
        <w:tab w:val="center" w:pos="4536"/>
        <w:tab w:val="right" w:pos="9072"/>
      </w:tabs>
      <w:spacing w:after="0"/>
    </w:pPr>
  </w:style>
  <w:style w:type="character" w:customStyle="1" w:styleId="lfejChar">
    <w:name w:val="Élőfej Char"/>
    <w:basedOn w:val="Bekezdsalapbettpusa"/>
    <w:link w:val="lfej"/>
    <w:rsid w:val="002C37F4"/>
  </w:style>
  <w:style w:type="paragraph" w:styleId="llb">
    <w:name w:val="footer"/>
    <w:basedOn w:val="Norml"/>
    <w:link w:val="llbChar"/>
    <w:uiPriority w:val="99"/>
    <w:rsid w:val="002C37F4"/>
    <w:pPr>
      <w:tabs>
        <w:tab w:val="center" w:pos="4536"/>
        <w:tab w:val="right" w:pos="9072"/>
      </w:tabs>
      <w:spacing w:after="0"/>
    </w:pPr>
  </w:style>
  <w:style w:type="character" w:customStyle="1" w:styleId="llbChar">
    <w:name w:val="Élőláb Char"/>
    <w:basedOn w:val="Bekezdsalapbettpusa"/>
    <w:link w:val="llb"/>
    <w:uiPriority w:val="99"/>
    <w:rsid w:val="002C3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4040</Words>
  <Characters>27878</Characters>
  <Application>Microsoft Office Word</Application>
  <DocSecurity>0</DocSecurity>
  <Lines>232</Lines>
  <Paragraphs>63</Paragraphs>
  <ScaleCrop>false</ScaleCrop>
  <Company/>
  <LinksUpToDate>false</LinksUpToDate>
  <CharactersWithSpaces>31855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Paliczné Kustán Bianka</dc:creator>
  <cp:keywords/>
  <cp:lastModifiedBy>Paliczné Kustán Bianka</cp:lastModifiedBy>
  <cp:revision>6</cp:revision>
  <dcterms:created xsi:type="dcterms:W3CDTF">2025-11-17T17:14:00Z</dcterms:created>
  <dcterms:modified xsi:type="dcterms:W3CDTF">2025-11-17T17:17:00Z</dcterms:modified>
  <dc:language>hu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