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keepNext w:val="0"/>
        <w:keepLines w:val="0"/>
        <w:spacing w:after="120" w:before="0" w:lineRule="auto"/>
        <w:contextualSpacing w:val="0"/>
        <w:rPr/>
      </w:pPr>
      <w:bookmarkStart w:colFirst="0" w:colLast="0" w:name="_4iudt5ne0hv4" w:id="0"/>
      <w:bookmarkEnd w:id="0"/>
      <w:r w:rsidDel="00000000" w:rsidR="00000000" w:rsidRPr="00000000">
        <w:rPr>
          <w:rtl w:val="0"/>
        </w:rPr>
        <w:t xml:space="preserve">Modified Three Pillar</w:t>
      </w:r>
    </w:p>
    <w:p w:rsidR="00000000" w:rsidDel="00000000" w:rsidP="00000000" w:rsidRDefault="00000000" w:rsidRPr="00000000" w14:paraId="00000001">
      <w:pPr>
        <w:contextualSpacing w:val="0"/>
        <w:rPr/>
      </w:pPr>
      <w:r w:rsidDel="00000000" w:rsidR="00000000" w:rsidRPr="00000000">
        <w:rPr>
          <w:rtl w:val="0"/>
        </w:rPr>
        <w:t xml:space="preserve">This version of three pillar experience rewards players for exploration and social interaction, while maintaining the traditional character advancement scale and allowing the GM to reward XP for encounters.</w:t>
      </w:r>
    </w:p>
    <w:p w:rsidR="00000000" w:rsidDel="00000000" w:rsidP="00000000" w:rsidRDefault="00000000" w:rsidRPr="00000000" w14:paraId="00000002">
      <w:pPr>
        <w:contextualSpacing w:val="0"/>
        <w:rPr/>
      </w:pPr>
      <w:r w:rsidDel="00000000" w:rsidR="00000000" w:rsidRPr="00000000">
        <w:rPr>
          <w:rtl w:val="0"/>
        </w:rPr>
        <w:t xml:space="preserve">      Instead of rewarding a fixed amount, for Exploration and Social Interaction players receive a percentage of the XP required for them to get from their current level to the next (calculated from the base XP of their level to the next, not including XP they've earned in between.)</w:t>
      </w:r>
    </w:p>
    <w:p w:rsidR="00000000" w:rsidDel="00000000" w:rsidP="00000000" w:rsidRDefault="00000000" w:rsidRPr="00000000" w14:paraId="00000003">
      <w:pPr>
        <w:contextualSpacing w:val="0"/>
        <w:rPr/>
      </w:pPr>
      <w:r w:rsidDel="00000000" w:rsidR="00000000" w:rsidRPr="00000000">
        <w:rPr>
          <w:rtl w:val="0"/>
        </w:rPr>
        <w:t xml:space="preserve">      They may receive a higher or lower percentage depending on the their tier of play compared to the magnitude of their accomplishment.</w:t>
        <w:tab/>
      </w:r>
    </w:p>
    <w:p w:rsidR="00000000" w:rsidDel="00000000" w:rsidP="00000000" w:rsidRDefault="00000000" w:rsidRPr="00000000" w14:paraId="00000004">
      <w:pPr>
        <w:pStyle w:val="Heading1"/>
        <w:keepNext w:val="0"/>
        <w:keepLines w:val="0"/>
        <w:spacing w:after="120" w:before="240" w:lineRule="auto"/>
        <w:contextualSpacing w:val="0"/>
        <w:rPr/>
      </w:pPr>
      <w:bookmarkStart w:colFirst="0" w:colLast="0" w:name="_rmgwqbskq6cc" w:id="1"/>
      <w:bookmarkEnd w:id="1"/>
      <w:r w:rsidDel="00000000" w:rsidR="00000000" w:rsidRPr="00000000">
        <w:rPr>
          <w:rtl w:val="0"/>
        </w:rPr>
        <w:t xml:space="preserve">Gaining Levels</w:t>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tab/>
        <w:tab/>
        <w:tab/>
      </w:r>
    </w:p>
    <w:p w:rsidR="00000000" w:rsidDel="00000000" w:rsidP="00000000" w:rsidRDefault="00000000" w:rsidRPr="00000000" w14:paraId="00000007">
      <w:pPr>
        <w:contextualSpacing w:val="0"/>
        <w:rPr/>
      </w:pPr>
      <w:r w:rsidDel="00000000" w:rsidR="00000000" w:rsidRPr="00000000">
        <w:rPr>
          <w:rtl w:val="0"/>
        </w:rPr>
        <w:t xml:space="preserve">Players gain levels according to the normal PHB Character Advancement table.</w:t>
      </w:r>
    </w:p>
    <w:p w:rsidR="00000000" w:rsidDel="00000000" w:rsidP="00000000" w:rsidRDefault="00000000" w:rsidRPr="00000000" w14:paraId="00000008">
      <w:pPr>
        <w:contextualSpacing w:val="0"/>
        <w:rPr/>
      </w:pPr>
      <w:r w:rsidDel="00000000" w:rsidR="00000000" w:rsidRPr="00000000">
        <w:rPr>
          <w:rtl w:val="0"/>
        </w:rPr>
        <w:tab/>
        <w:tab/>
        <w:tab/>
        <w:tab/>
      </w:r>
    </w:p>
    <w:tbl>
      <w:tblPr>
        <w:tblStyle w:val="Table1"/>
        <w:tblW w:w="3780.0" w:type="dxa"/>
        <w:jc w:val="left"/>
        <w:tblInd w:w="21.6" w:type="pct"/>
        <w:tblLayout w:type="fixed"/>
        <w:tblLook w:val="0600"/>
      </w:tblPr>
      <w:tblGrid>
        <w:gridCol w:w="1010"/>
        <w:gridCol w:w="785"/>
        <w:gridCol w:w="1985"/>
        <w:tblGridChange w:id="0">
          <w:tblGrid>
            <w:gridCol w:w="1010"/>
            <w:gridCol w:w="785"/>
            <w:gridCol w:w="1985"/>
          </w:tblGrid>
        </w:tblGridChange>
      </w:tblGrid>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9">
            <w:pPr>
              <w:spacing w:after="0" w:before="0" w:line="240" w:lineRule="auto"/>
              <w:ind w:left="0" w:firstLine="0"/>
              <w:contextualSpacing w:val="0"/>
              <w:rPr/>
            </w:pPr>
            <w:r w:rsidDel="00000000" w:rsidR="00000000" w:rsidRPr="00000000">
              <w:rPr>
                <w:rtl w:val="0"/>
              </w:rPr>
              <w:t xml:space="preserve">XP</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A">
            <w:pPr>
              <w:spacing w:after="0" w:before="0" w:line="240" w:lineRule="auto"/>
              <w:ind w:left="0" w:firstLine="0"/>
              <w:contextualSpacing w:val="0"/>
              <w:rPr/>
            </w:pPr>
            <w:r w:rsidDel="00000000" w:rsidR="00000000" w:rsidRPr="00000000">
              <w:rPr>
                <w:rtl w:val="0"/>
              </w:rPr>
              <w:t xml:space="preserve">Level</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B">
            <w:pPr>
              <w:spacing w:after="0" w:before="0" w:line="240" w:lineRule="auto"/>
              <w:ind w:left="0" w:firstLine="0"/>
              <w:contextualSpacing w:val="0"/>
              <w:rPr/>
            </w:pPr>
            <w:r w:rsidDel="00000000" w:rsidR="00000000" w:rsidRPr="00000000">
              <w:rPr>
                <w:rtl w:val="0"/>
              </w:rPr>
              <w:t xml:space="preserve">XP to Next Level</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D">
            <w:pPr>
              <w:spacing w:after="0" w:before="0" w:line="240" w:lineRule="auto"/>
              <w:ind w:left="0" w:firstLine="0"/>
              <w:contextualSpacing w:val="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t xml:space="preserve">300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0F">
            <w:pPr>
              <w:spacing w:after="0" w:before="0" w:line="240" w:lineRule="auto"/>
              <w:ind w:left="0" w:firstLine="0"/>
              <w:contextualSpacing w:val="0"/>
              <w:rPr/>
            </w:pPr>
            <w:r w:rsidDel="00000000" w:rsidR="00000000" w:rsidRPr="00000000">
              <w:rPr>
                <w:rtl w:val="0"/>
              </w:rPr>
              <w:t xml:space="preserve">300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0">
            <w:pPr>
              <w:spacing w:after="0" w:before="0" w:line="240" w:lineRule="auto"/>
              <w:ind w:left="0" w:firstLine="0"/>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1">
            <w:pPr>
              <w:spacing w:after="0" w:before="0" w:line="240" w:lineRule="auto"/>
              <w:ind w:left="0" w:firstLine="0"/>
              <w:contextualSpacing w:val="0"/>
              <w:rPr/>
            </w:pPr>
            <w:r w:rsidDel="00000000" w:rsidR="00000000" w:rsidRPr="00000000">
              <w:rPr>
                <w:rtl w:val="0"/>
              </w:rPr>
              <w:t xml:space="preserve">600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2">
            <w:pPr>
              <w:spacing w:after="0" w:before="0" w:line="240" w:lineRule="auto"/>
              <w:ind w:left="0" w:firstLine="0"/>
              <w:contextualSpacing w:val="0"/>
              <w:rPr/>
            </w:pPr>
            <w:r w:rsidDel="00000000" w:rsidR="00000000" w:rsidRPr="00000000">
              <w:rPr>
                <w:rtl w:val="0"/>
              </w:rPr>
              <w:t xml:space="preserve">900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3">
            <w:pPr>
              <w:spacing w:after="0" w:before="0" w:line="240" w:lineRule="auto"/>
              <w:ind w:left="0" w:firstLine="0"/>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4">
            <w:pPr>
              <w:spacing w:after="0" w:before="0" w:line="240" w:lineRule="auto"/>
              <w:ind w:left="0" w:firstLine="0"/>
              <w:contextualSpacing w:val="0"/>
              <w:rPr/>
            </w:pPr>
            <w:r w:rsidDel="00000000" w:rsidR="00000000" w:rsidRPr="00000000">
              <w:rPr>
                <w:rtl w:val="0"/>
              </w:rPr>
              <w:t xml:space="preserve">1,800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2,700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6">
            <w:pPr>
              <w:spacing w:after="0" w:before="0" w:line="240" w:lineRule="auto"/>
              <w:ind w:left="0" w:firstLine="0"/>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7">
            <w:pPr>
              <w:spacing w:after="0" w:before="0" w:line="240" w:lineRule="auto"/>
              <w:ind w:left="0" w:firstLine="0"/>
              <w:contextualSpacing w:val="0"/>
              <w:rPr/>
            </w:pPr>
            <w:r w:rsidDel="00000000" w:rsidR="00000000" w:rsidRPr="00000000">
              <w:rPr>
                <w:rtl w:val="0"/>
              </w:rPr>
              <w:t xml:space="preserve">3,800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8">
            <w:pPr>
              <w:spacing w:after="0" w:before="0" w:line="240" w:lineRule="auto"/>
              <w:ind w:left="0" w:firstLine="0"/>
              <w:contextualSpacing w:val="0"/>
              <w:rPr/>
            </w:pPr>
            <w:r w:rsidDel="00000000" w:rsidR="00000000" w:rsidRPr="00000000">
              <w:rPr>
                <w:rtl w:val="0"/>
              </w:rPr>
              <w:t xml:space="preserve">6,500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9">
            <w:pPr>
              <w:spacing w:after="0" w:before="0" w:line="240" w:lineRule="auto"/>
              <w:ind w:left="0" w:firstLine="0"/>
              <w:contextualSpacing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A">
            <w:pPr>
              <w:spacing w:after="0" w:before="0" w:line="240" w:lineRule="auto"/>
              <w:ind w:left="0" w:firstLine="0"/>
              <w:contextualSpacing w:val="0"/>
              <w:rPr/>
            </w:pPr>
            <w:r w:rsidDel="00000000" w:rsidR="00000000" w:rsidRPr="00000000">
              <w:rPr>
                <w:rtl w:val="0"/>
              </w:rPr>
              <w:t xml:space="preserve">7,500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B">
            <w:pPr>
              <w:spacing w:after="0" w:before="0" w:line="240" w:lineRule="auto"/>
              <w:ind w:left="0" w:firstLine="0"/>
              <w:contextualSpacing w:val="0"/>
              <w:rPr/>
            </w:pPr>
            <w:r w:rsidDel="00000000" w:rsidR="00000000" w:rsidRPr="00000000">
              <w:rPr>
                <w:rtl w:val="0"/>
              </w:rPr>
              <w:t xml:space="preserve">14,000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C">
            <w:pPr>
              <w:spacing w:after="0" w:before="0" w:line="240" w:lineRule="auto"/>
              <w:ind w:left="0" w:firstLine="0"/>
              <w:contextualSpacing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D">
            <w:pPr>
              <w:spacing w:after="0" w:before="0" w:line="240" w:lineRule="auto"/>
              <w:ind w:left="0" w:firstLine="0"/>
              <w:contextualSpacing w:val="0"/>
              <w:rPr/>
            </w:pPr>
            <w:r w:rsidDel="00000000" w:rsidR="00000000" w:rsidRPr="00000000">
              <w:rPr>
                <w:rtl w:val="0"/>
              </w:rPr>
              <w:t xml:space="preserve">9,000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E">
            <w:pPr>
              <w:spacing w:after="0" w:before="0" w:line="240" w:lineRule="auto"/>
              <w:ind w:left="0" w:firstLine="0"/>
              <w:contextualSpacing w:val="0"/>
              <w:rPr/>
            </w:pPr>
            <w:r w:rsidDel="00000000" w:rsidR="00000000" w:rsidRPr="00000000">
              <w:rPr>
                <w:rtl w:val="0"/>
              </w:rPr>
              <w:t xml:space="preserve">23,000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1F">
            <w:pPr>
              <w:spacing w:after="0" w:before="0" w:line="240" w:lineRule="auto"/>
              <w:ind w:left="0" w:firstLine="0"/>
              <w:contextualSpacing w:val="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t xml:space="preserve">11,000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34,000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t xml:space="preserve">14,000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t xml:space="preserve">48,000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5">
            <w:pPr>
              <w:spacing w:after="0" w:before="0" w:line="240" w:lineRule="auto"/>
              <w:ind w:left="0" w:firstLine="0"/>
              <w:contextualSpacing w:val="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16,000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64,000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t xml:space="preserve">21,000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85,000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B">
            <w:pPr>
              <w:spacing w:after="0" w:before="0" w:line="240" w:lineRule="auto"/>
              <w:ind w:left="0" w:firstLine="0"/>
              <w:contextualSpacing w:val="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C">
            <w:pPr>
              <w:spacing w:after="0" w:before="0" w:line="240" w:lineRule="auto"/>
              <w:ind w:left="0" w:firstLine="0"/>
              <w:contextualSpacing w:val="0"/>
              <w:rPr/>
            </w:pPr>
            <w:r w:rsidDel="00000000" w:rsidR="00000000" w:rsidRPr="00000000">
              <w:rPr>
                <w:rtl w:val="0"/>
              </w:rPr>
              <w:t xml:space="preserve">15,000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D">
            <w:pPr>
              <w:spacing w:after="0" w:before="0" w:line="240" w:lineRule="auto"/>
              <w:ind w:left="0" w:firstLine="0"/>
              <w:contextualSpacing w:val="0"/>
              <w:rPr/>
            </w:pPr>
            <w:r w:rsidDel="00000000" w:rsidR="00000000" w:rsidRPr="00000000">
              <w:rPr>
                <w:rtl w:val="0"/>
              </w:rPr>
              <w:t xml:space="preserve">100,000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E">
            <w:pPr>
              <w:spacing w:after="0" w:before="0" w:line="240" w:lineRule="auto"/>
              <w:ind w:left="0" w:firstLine="0"/>
              <w:contextualSpacing w:val="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2F">
            <w:pPr>
              <w:spacing w:after="0" w:before="0" w:line="240" w:lineRule="auto"/>
              <w:ind w:left="0" w:firstLine="0"/>
              <w:contextualSpacing w:val="0"/>
              <w:rPr/>
            </w:pPr>
            <w:r w:rsidDel="00000000" w:rsidR="00000000" w:rsidRPr="00000000">
              <w:rPr>
                <w:rtl w:val="0"/>
              </w:rPr>
              <w:t xml:space="preserve">20,000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0">
            <w:pPr>
              <w:spacing w:after="0" w:before="0" w:line="240" w:lineRule="auto"/>
              <w:ind w:left="0" w:firstLine="0"/>
              <w:contextualSpacing w:val="0"/>
              <w:rPr/>
            </w:pPr>
            <w:r w:rsidDel="00000000" w:rsidR="00000000" w:rsidRPr="00000000">
              <w:rPr>
                <w:rtl w:val="0"/>
              </w:rPr>
              <w:t xml:space="preserve">120,000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1">
            <w:pPr>
              <w:spacing w:after="0" w:before="0" w:line="240" w:lineRule="auto"/>
              <w:ind w:left="0" w:firstLine="0"/>
              <w:contextualSpacing w:val="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2">
            <w:pPr>
              <w:spacing w:after="0" w:before="0" w:line="240" w:lineRule="auto"/>
              <w:ind w:left="0" w:firstLine="0"/>
              <w:contextualSpacing w:val="0"/>
              <w:rPr/>
            </w:pPr>
            <w:r w:rsidDel="00000000" w:rsidR="00000000" w:rsidRPr="00000000">
              <w:rPr>
                <w:rtl w:val="0"/>
              </w:rPr>
              <w:t xml:space="preserve">20,000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3">
            <w:pPr>
              <w:spacing w:after="0" w:before="0" w:line="240" w:lineRule="auto"/>
              <w:ind w:left="0" w:firstLine="0"/>
              <w:contextualSpacing w:val="0"/>
              <w:rPr/>
            </w:pPr>
            <w:r w:rsidDel="00000000" w:rsidR="00000000" w:rsidRPr="00000000">
              <w:rPr>
                <w:rtl w:val="0"/>
              </w:rPr>
              <w:t xml:space="preserve">140,000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4">
            <w:pPr>
              <w:spacing w:after="0" w:before="0" w:line="240" w:lineRule="auto"/>
              <w:ind w:left="0" w:firstLine="0"/>
              <w:contextualSpacing w:val="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5">
            <w:pPr>
              <w:spacing w:after="0" w:before="0" w:line="240" w:lineRule="auto"/>
              <w:ind w:left="0" w:firstLine="0"/>
              <w:contextualSpacing w:val="0"/>
              <w:rPr/>
            </w:pPr>
            <w:r w:rsidDel="00000000" w:rsidR="00000000" w:rsidRPr="00000000">
              <w:rPr>
                <w:rtl w:val="0"/>
              </w:rPr>
              <w:t xml:space="preserve">25,000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t xml:space="preserve">165,000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7">
            <w:pPr>
              <w:spacing w:after="0" w:before="0" w:line="240" w:lineRule="auto"/>
              <w:ind w:left="0" w:firstLine="0"/>
              <w:contextualSpacing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8">
            <w:pPr>
              <w:spacing w:after="0" w:before="0" w:line="240" w:lineRule="auto"/>
              <w:ind w:left="0" w:firstLine="0"/>
              <w:contextualSpacing w:val="0"/>
              <w:rPr/>
            </w:pPr>
            <w:r w:rsidDel="00000000" w:rsidR="00000000" w:rsidRPr="00000000">
              <w:rPr>
                <w:rtl w:val="0"/>
              </w:rPr>
              <w:t xml:space="preserve">30,000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9">
            <w:pPr>
              <w:spacing w:after="0" w:before="0" w:line="240" w:lineRule="auto"/>
              <w:ind w:left="0" w:firstLine="0"/>
              <w:contextualSpacing w:val="0"/>
              <w:rPr/>
            </w:pPr>
            <w:r w:rsidDel="00000000" w:rsidR="00000000" w:rsidRPr="00000000">
              <w:rPr>
                <w:rtl w:val="0"/>
              </w:rPr>
              <w:t xml:space="preserve">195,000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B">
            <w:pPr>
              <w:spacing w:after="0" w:before="0" w:line="240" w:lineRule="auto"/>
              <w:ind w:left="0" w:firstLine="0"/>
              <w:contextualSpacing w:val="0"/>
              <w:rPr/>
            </w:pPr>
            <w:r w:rsidDel="00000000" w:rsidR="00000000" w:rsidRPr="00000000">
              <w:rPr>
                <w:rtl w:val="0"/>
              </w:rPr>
              <w:t xml:space="preserve">30,000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225,000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D">
            <w:pPr>
              <w:spacing w:after="0" w:before="0" w:line="240" w:lineRule="auto"/>
              <w:ind w:left="0" w:firstLine="0"/>
              <w:contextualSpacing w:val="0"/>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E">
            <w:pPr>
              <w:spacing w:after="0" w:before="0" w:line="240" w:lineRule="auto"/>
              <w:ind w:left="0" w:firstLine="0"/>
              <w:contextualSpacing w:val="0"/>
              <w:rPr/>
            </w:pPr>
            <w:r w:rsidDel="00000000" w:rsidR="00000000" w:rsidRPr="00000000">
              <w:rPr>
                <w:rtl w:val="0"/>
              </w:rPr>
              <w:t xml:space="preserve">40,000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3F">
            <w:pPr>
              <w:spacing w:after="0" w:before="0" w:line="240" w:lineRule="auto"/>
              <w:ind w:left="0" w:firstLine="0"/>
              <w:contextualSpacing w:val="0"/>
              <w:rPr/>
            </w:pPr>
            <w:r w:rsidDel="00000000" w:rsidR="00000000" w:rsidRPr="00000000">
              <w:rPr>
                <w:rtl w:val="0"/>
              </w:rPr>
              <w:t xml:space="preserve">265,000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0">
            <w:pPr>
              <w:spacing w:after="0" w:before="0" w:line="240" w:lineRule="auto"/>
              <w:ind w:left="0" w:firstLine="0"/>
              <w:contextualSpacing w:val="0"/>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tl w:val="0"/>
              </w:rPr>
              <w:t xml:space="preserve">40,000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302,000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t xml:space="preserve">50,000</w:t>
            </w:r>
          </w:p>
        </w:tc>
      </w:tr>
      <w:tr>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t xml:space="preserve">355,000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21.6" w:type="dxa"/>
              <w:left w:w="21.6" w:type="dxa"/>
              <w:bottom w:w="21.6" w:type="dxa"/>
              <w:right w:w="21.6" w:type="dxa"/>
            </w:tcMar>
            <w:vAlign w:val="top"/>
          </w:tcPr>
          <w:p w:rsidR="00000000" w:rsidDel="00000000" w:rsidP="00000000" w:rsidRDefault="00000000" w:rsidRPr="00000000" w14:paraId="00000047">
            <w:pPr>
              <w:spacing w:after="0" w:before="0" w:line="240" w:lineRule="auto"/>
              <w:ind w:left="0" w:firstLine="0"/>
              <w:contextualSpacing w:val="0"/>
              <w:rPr/>
            </w:pPr>
            <w:r w:rsidDel="00000000" w:rsidR="00000000" w:rsidRPr="00000000">
              <w:rPr>
                <w:rtl w:val="0"/>
              </w:rPr>
              <w:t xml:space="preserve">See Epic Boons</w:t>
            </w:r>
          </w:p>
        </w:tc>
      </w:tr>
    </w:tbl>
    <w:p w:rsidR="00000000" w:rsidDel="00000000" w:rsidP="00000000" w:rsidRDefault="00000000" w:rsidRPr="00000000" w14:paraId="00000048">
      <w:pPr>
        <w:contextualSpacing w:val="0"/>
        <w:rPr/>
      </w:pPr>
      <w:r w:rsidDel="00000000" w:rsidR="00000000" w:rsidRPr="00000000">
        <w:rPr>
          <w:rtl w:val="0"/>
        </w:rPr>
        <w:tab/>
        <w:tab/>
        <w:tab/>
        <w:tab/>
      </w:r>
    </w:p>
    <w:p w:rsidR="00000000" w:rsidDel="00000000" w:rsidP="00000000" w:rsidRDefault="00000000" w:rsidRPr="00000000" w14:paraId="00000049">
      <w:pPr>
        <w:pStyle w:val="Heading1"/>
        <w:keepNext w:val="0"/>
        <w:keepLines w:val="0"/>
        <w:spacing w:after="120" w:before="240" w:lineRule="auto"/>
        <w:contextualSpacing w:val="0"/>
        <w:rPr/>
      </w:pPr>
      <w:bookmarkStart w:colFirst="0" w:colLast="0" w:name="_8v5hflbxre9k" w:id="2"/>
      <w:bookmarkEnd w:id="2"/>
      <w:r w:rsidDel="00000000" w:rsidR="00000000" w:rsidRPr="00000000">
        <w:rPr>
          <w:rtl w:val="0"/>
        </w:rPr>
        <w:t xml:space="preserve">Dividing XP</w:t>
      </w:r>
    </w:p>
    <w:p w:rsidR="00000000" w:rsidDel="00000000" w:rsidP="00000000" w:rsidRDefault="00000000" w:rsidRPr="00000000" w14:paraId="0000004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ab/>
        <w:tab/>
        <w:tab/>
        <w:tab/>
      </w:r>
    </w:p>
    <w:p w:rsidR="00000000" w:rsidDel="00000000" w:rsidP="00000000" w:rsidRDefault="00000000" w:rsidRPr="00000000" w14:paraId="0000004C">
      <w:pPr>
        <w:contextualSpacing w:val="0"/>
        <w:rPr/>
      </w:pPr>
      <w:r w:rsidDel="00000000" w:rsidR="00000000" w:rsidRPr="00000000">
        <w:rPr>
          <w:rtl w:val="0"/>
        </w:rPr>
        <w:t xml:space="preserve">For Exploration and Social Interaction, the XP award for an adventure is the same for each member of the party, instead of being divided among them.</w:t>
      </w:r>
    </w:p>
    <w:p w:rsidR="00000000" w:rsidDel="00000000" w:rsidP="00000000" w:rsidRDefault="00000000" w:rsidRPr="00000000" w14:paraId="0000004D">
      <w:pPr>
        <w:contextualSpacing w:val="0"/>
        <w:rPr/>
      </w:pPr>
      <w:r w:rsidDel="00000000" w:rsidR="00000000" w:rsidRPr="00000000">
        <w:rPr>
          <w:rtl w:val="0"/>
        </w:rPr>
        <w:t xml:space="preserve">     However, this does not mean the XP is awarded for individual merit. XP is awarded when the party as a whole accomplishes something, without splitting hairs about who contributed to what the most.</w:t>
        <w:tab/>
      </w:r>
    </w:p>
    <w:p w:rsidR="00000000" w:rsidDel="00000000" w:rsidP="00000000" w:rsidRDefault="00000000" w:rsidRPr="00000000" w14:paraId="0000004E">
      <w:pPr>
        <w:pStyle w:val="Heading1"/>
        <w:keepNext w:val="0"/>
        <w:keepLines w:val="0"/>
        <w:spacing w:after="120" w:before="240" w:lineRule="auto"/>
        <w:contextualSpacing w:val="0"/>
        <w:rPr/>
      </w:pPr>
      <w:bookmarkStart w:colFirst="0" w:colLast="0" w:name="_w4of0rp1q0kg" w:id="3"/>
      <w:bookmarkEnd w:id="3"/>
      <w:r w:rsidDel="00000000" w:rsidR="00000000" w:rsidRPr="00000000">
        <w:rPr>
          <w:rtl w:val="0"/>
        </w:rPr>
        <w:t xml:space="preserve">Pillar 1: Exploration</w:t>
      </w:r>
    </w:p>
    <w:p w:rsidR="00000000" w:rsidDel="00000000" w:rsidP="00000000" w:rsidRDefault="00000000" w:rsidRPr="00000000" w14:paraId="0000004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ab/>
        <w:tab/>
        <w:tab/>
        <w:tab/>
      </w:r>
    </w:p>
    <w:p w:rsidR="00000000" w:rsidDel="00000000" w:rsidP="00000000" w:rsidRDefault="00000000" w:rsidRPr="00000000" w14:paraId="00000051">
      <w:pPr>
        <w:contextualSpacing w:val="0"/>
        <w:rPr/>
      </w:pPr>
      <w:r w:rsidDel="00000000" w:rsidR="00000000" w:rsidRPr="00000000">
        <w:rPr>
          <w:rtl w:val="0"/>
        </w:rPr>
        <w:t xml:space="preserve">For discovering both Items and Locations, each player gains 5% at their tier, 5% additional for every tier above, none for below their tier.</w:t>
        <w:tab/>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9mkfolwp2iva" w:id="4"/>
      <w:bookmarkEnd w:id="4"/>
      <w:r w:rsidDel="00000000" w:rsidR="00000000" w:rsidRPr="00000000">
        <w:rPr>
          <w:rtl w:val="0"/>
        </w:rPr>
        <w:t xml:space="preserve">Items</w:t>
      </w:r>
    </w:p>
    <w:p w:rsidR="00000000" w:rsidDel="00000000" w:rsidP="00000000" w:rsidRDefault="00000000" w:rsidRPr="00000000" w14:paraId="00000054">
      <w:pPr>
        <w:contextualSpacing w:val="0"/>
        <w:rPr/>
      </w:pPr>
      <w:r w:rsidDel="00000000" w:rsidR="00000000" w:rsidRPr="00000000">
        <w:rPr>
          <w:rtl w:val="0"/>
        </w:rPr>
        <w:tab/>
        <w:tab/>
        <w:tab/>
        <w:tab/>
      </w:r>
    </w:p>
    <w:p w:rsidR="00000000" w:rsidDel="00000000" w:rsidP="00000000" w:rsidRDefault="00000000" w:rsidRPr="00000000" w14:paraId="00000055">
      <w:pPr>
        <w:contextualSpacing w:val="0"/>
        <w:rPr/>
      </w:pPr>
      <w:r w:rsidDel="00000000" w:rsidR="00000000" w:rsidRPr="00000000">
        <w:rPr>
          <w:rtl w:val="0"/>
        </w:rPr>
        <w:t xml:space="preserve">In this version, players are rewarded for discovering magic items that are of the highest nonconsumable rarity suggested for their tier as per Xanathar's Guide.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ab/>
        <w:tab/>
        <w:tab/>
        <w:tab/>
      </w:r>
    </w:p>
    <w:tbl>
      <w:tblPr>
        <w:tblStyle w:val="Table2"/>
        <w:tblW w:w="11520.0" w:type="dxa"/>
        <w:jc w:val="left"/>
        <w:tblInd w:w="21.6" w:type="pct"/>
        <w:tblLayout w:type="fixed"/>
        <w:tblLook w:val="0600"/>
      </w:tblPr>
      <w:tblGrid>
        <w:gridCol w:w="800"/>
        <w:gridCol w:w="7865"/>
        <w:gridCol w:w="571"/>
        <w:gridCol w:w="571"/>
        <w:gridCol w:w="571"/>
        <w:gridCol w:w="571"/>
        <w:gridCol w:w="571"/>
        <w:tblGridChange w:id="0">
          <w:tblGrid>
            <w:gridCol w:w="800"/>
            <w:gridCol w:w="7865"/>
            <w:gridCol w:w="571"/>
            <w:gridCol w:w="571"/>
            <w:gridCol w:w="571"/>
            <w:gridCol w:w="571"/>
            <w:gridCol w:w="571"/>
          </w:tblGrid>
        </w:tblGridChange>
      </w:tblGrid>
      <w:tr>
        <w:tc>
          <w:tcPr>
            <w:tcMar>
              <w:top w:w="21.6" w:type="dxa"/>
              <w:left w:w="21.6" w:type="dxa"/>
              <w:bottom w:w="21.6" w:type="dxa"/>
              <w:right w:w="21.6" w:type="dxa"/>
            </w:tcMar>
            <w:vAlign w:val="top"/>
          </w:tcPr>
          <w:p w:rsidR="00000000" w:rsidDel="00000000" w:rsidP="00000000" w:rsidRDefault="00000000" w:rsidRPr="00000000" w14:paraId="00000058">
            <w:pPr>
              <w:spacing w:after="0" w:before="0" w:line="240" w:lineRule="auto"/>
              <w:ind w:left="0" w:firstLine="0"/>
              <w:contextualSpacing w:val="0"/>
              <w:rPr/>
            </w:pPr>
            <w:r w:rsidDel="00000000" w:rsidR="00000000" w:rsidRPr="00000000">
              <w:rPr>
                <w:rtl w:val="0"/>
              </w:rPr>
              <w:t xml:space="preserve">Tier 1</w:t>
            </w:r>
          </w:p>
        </w:tc>
        <w:tc>
          <w:tcPr>
            <w:gridSpan w:val="6"/>
            <w:tcMar>
              <w:top w:w="21.6" w:type="dxa"/>
              <w:left w:w="21.6" w:type="dxa"/>
              <w:bottom w:w="21.6" w:type="dxa"/>
              <w:right w:w="21.6" w:type="dxa"/>
            </w:tcMar>
            <w:vAlign w:val="top"/>
          </w:tcPr>
          <w:p w:rsidR="00000000" w:rsidDel="00000000" w:rsidP="00000000" w:rsidRDefault="00000000" w:rsidRPr="00000000" w14:paraId="00000059">
            <w:pPr>
              <w:spacing w:after="0" w:before="0" w:line="240" w:lineRule="auto"/>
              <w:ind w:left="0" w:firstLine="0"/>
              <w:contextualSpacing w:val="0"/>
              <w:rPr/>
            </w:pPr>
            <w:r w:rsidDel="00000000" w:rsidR="00000000" w:rsidRPr="00000000">
              <w:rPr>
                <w:rtl w:val="0"/>
              </w:rPr>
              <w:t xml:space="preserve">A single art object or gem worth 100 gp or more, or a major uncommon item</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5F">
            <w:pPr>
              <w:spacing w:after="0" w:before="0" w:line="240" w:lineRule="auto"/>
              <w:ind w:left="0" w:firstLine="0"/>
              <w:contextualSpacing w:val="0"/>
              <w:rPr/>
            </w:pPr>
            <w:r w:rsidDel="00000000" w:rsidR="00000000" w:rsidRPr="00000000">
              <w:rPr>
                <w:rtl w:val="0"/>
              </w:rPr>
              <w:t xml:space="preserve">Tier 2</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t xml:space="preserve">A single art object or gem worth 1,000 gp or more, or a major rare item</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66">
            <w:pPr>
              <w:spacing w:after="0" w:before="0" w:line="240" w:lineRule="auto"/>
              <w:ind w:left="0" w:firstLine="0"/>
              <w:contextualSpacing w:val="0"/>
              <w:rPr/>
            </w:pPr>
            <w:r w:rsidDel="00000000" w:rsidR="00000000" w:rsidRPr="00000000">
              <w:rPr>
                <w:rtl w:val="0"/>
              </w:rPr>
              <w:t xml:space="preserve">Tier 3</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67">
            <w:pPr>
              <w:spacing w:after="0" w:before="0" w:line="240" w:lineRule="auto"/>
              <w:ind w:left="0" w:firstLine="0"/>
              <w:contextualSpacing w:val="0"/>
              <w:rPr/>
            </w:pPr>
            <w:r w:rsidDel="00000000" w:rsidR="00000000" w:rsidRPr="00000000">
              <w:rPr>
                <w:rtl w:val="0"/>
              </w:rPr>
              <w:t xml:space="preserve">A single art object or gem worth 5,000 gp or more, or a major very rare item</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6D">
            <w:pPr>
              <w:spacing w:after="0" w:before="0" w:line="240" w:lineRule="auto"/>
              <w:ind w:left="0" w:firstLine="0"/>
              <w:contextualSpacing w:val="0"/>
              <w:rPr/>
            </w:pPr>
            <w:r w:rsidDel="00000000" w:rsidR="00000000" w:rsidRPr="00000000">
              <w:rPr>
                <w:rtl w:val="0"/>
              </w:rPr>
              <w:t xml:space="preserve">Tier 4</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6E">
            <w:pPr>
              <w:spacing w:after="0" w:before="0" w:line="240" w:lineRule="auto"/>
              <w:ind w:left="0" w:firstLine="0"/>
              <w:contextualSpacing w:val="0"/>
              <w:rPr/>
            </w:pPr>
            <w:r w:rsidDel="00000000" w:rsidR="00000000" w:rsidRPr="00000000">
              <w:rPr>
                <w:rtl w:val="0"/>
              </w:rPr>
              <w:t xml:space="preserve">A single art object or gem worth 50,000 gp or more, or a major legendary item</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73f57uyiawj2" w:id="5"/>
      <w:bookmarkEnd w:id="5"/>
      <w:r w:rsidDel="00000000" w:rsidR="00000000" w:rsidRPr="00000000">
        <w:rPr>
          <w:rtl w:val="0"/>
        </w:rPr>
        <w:t xml:space="preserve">Locations</w:t>
      </w:r>
    </w:p>
    <w:p w:rsidR="00000000" w:rsidDel="00000000" w:rsidP="00000000" w:rsidRDefault="00000000" w:rsidRPr="00000000" w14:paraId="00000076">
      <w:pPr>
        <w:contextualSpacing w:val="0"/>
        <w:rPr/>
      </w:pPr>
      <w:r w:rsidDel="00000000" w:rsidR="00000000" w:rsidRPr="00000000">
        <w:rPr>
          <w:rtl w:val="0"/>
        </w:rPr>
        <w:tab/>
        <w:tab/>
        <w:tab/>
        <w:tab/>
      </w:r>
    </w:p>
    <w:p w:rsidR="00000000" w:rsidDel="00000000" w:rsidP="00000000" w:rsidRDefault="00000000" w:rsidRPr="00000000" w14:paraId="00000077">
      <w:pPr>
        <w:contextualSpacing w:val="0"/>
        <w:rPr/>
      </w:pPr>
      <w:r w:rsidDel="00000000" w:rsidR="00000000" w:rsidRPr="00000000">
        <w:rPr>
          <w:rtl w:val="0"/>
        </w:rPr>
        <w:t xml:space="preserve">A location's tier depends on the importance to your campaign, measured by the scope of its discovery or liberation's impact:</w:t>
      </w:r>
    </w:p>
    <w:p w:rsidR="00000000" w:rsidDel="00000000" w:rsidP="00000000" w:rsidRDefault="00000000" w:rsidRPr="00000000" w14:paraId="00000078">
      <w:pPr>
        <w:contextualSpacing w:val="0"/>
        <w:rPr/>
      </w:pPr>
      <w:r w:rsidDel="00000000" w:rsidR="00000000" w:rsidRPr="00000000">
        <w:rPr>
          <w:rtl w:val="0"/>
        </w:rPr>
        <w:tab/>
        <w:tab/>
        <w:tab/>
        <w:tab/>
      </w:r>
    </w:p>
    <w:tbl>
      <w:tblPr>
        <w:tblStyle w:val="Table3"/>
        <w:tblW w:w="11520.0" w:type="dxa"/>
        <w:jc w:val="left"/>
        <w:tblInd w:w="21.6" w:type="pct"/>
        <w:tblLayout w:type="fixed"/>
        <w:tblLook w:val="0600"/>
      </w:tblPr>
      <w:tblGrid>
        <w:gridCol w:w="800"/>
        <w:gridCol w:w="4790"/>
        <w:gridCol w:w="1186"/>
        <w:gridCol w:w="1186"/>
        <w:gridCol w:w="1186"/>
        <w:gridCol w:w="1186"/>
        <w:gridCol w:w="1186"/>
        <w:tblGridChange w:id="0">
          <w:tblGrid>
            <w:gridCol w:w="800"/>
            <w:gridCol w:w="4790"/>
            <w:gridCol w:w="1186"/>
            <w:gridCol w:w="1186"/>
            <w:gridCol w:w="1186"/>
            <w:gridCol w:w="1186"/>
            <w:gridCol w:w="1186"/>
          </w:tblGrid>
        </w:tblGridChange>
      </w:tblGrid>
      <w:tr>
        <w:tc>
          <w:tcPr>
            <w:shd w:fill="auto" w:val="clear"/>
            <w:tcMar>
              <w:top w:w="21.6" w:type="dxa"/>
              <w:left w:w="21.6" w:type="dxa"/>
              <w:bottom w:w="21.6" w:type="dxa"/>
              <w:right w:w="21.6" w:type="dxa"/>
            </w:tcMar>
            <w:vAlign w:val="top"/>
          </w:tcPr>
          <w:p w:rsidR="00000000" w:rsidDel="00000000" w:rsidP="00000000" w:rsidRDefault="00000000" w:rsidRPr="00000000" w14:paraId="00000079">
            <w:pPr>
              <w:spacing w:after="0" w:before="0" w:line="240" w:lineRule="auto"/>
              <w:ind w:left="0" w:firstLine="0"/>
              <w:contextualSpacing w:val="0"/>
              <w:rPr/>
            </w:pPr>
            <w:r w:rsidDel="00000000" w:rsidR="00000000" w:rsidRPr="00000000">
              <w:rPr>
                <w:rtl w:val="0"/>
              </w:rPr>
              <w:t xml:space="preserve">Tier 1</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7A">
            <w:pPr>
              <w:spacing w:after="0" w:before="0" w:line="240" w:lineRule="auto"/>
              <w:ind w:left="0" w:firstLine="0"/>
              <w:contextualSpacing w:val="0"/>
              <w:rPr/>
            </w:pPr>
            <w:r w:rsidDel="00000000" w:rsidR="00000000" w:rsidRPr="00000000">
              <w:rPr>
                <w:rtl w:val="0"/>
              </w:rPr>
              <w:t xml:space="preserve">A location important to a small town or village</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80">
            <w:pPr>
              <w:spacing w:after="0" w:before="0" w:line="240" w:lineRule="auto"/>
              <w:ind w:left="0" w:firstLine="0"/>
              <w:contextualSpacing w:val="0"/>
              <w:rPr/>
            </w:pPr>
            <w:r w:rsidDel="00000000" w:rsidR="00000000" w:rsidRPr="00000000">
              <w:rPr>
                <w:rtl w:val="0"/>
              </w:rPr>
              <w:t xml:space="preserve">Tier 2</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81">
            <w:pPr>
              <w:spacing w:after="0" w:before="0" w:line="240" w:lineRule="auto"/>
              <w:ind w:left="0" w:firstLine="0"/>
              <w:contextualSpacing w:val="0"/>
              <w:rPr/>
            </w:pPr>
            <w:r w:rsidDel="00000000" w:rsidR="00000000" w:rsidRPr="00000000">
              <w:rPr>
                <w:rtl w:val="0"/>
              </w:rPr>
              <w:t xml:space="preserve">A location vital to a kingdom</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87">
            <w:pPr>
              <w:spacing w:after="0" w:before="0" w:line="240" w:lineRule="auto"/>
              <w:ind w:left="0" w:firstLine="0"/>
              <w:contextualSpacing w:val="0"/>
              <w:rPr/>
            </w:pPr>
            <w:r w:rsidDel="00000000" w:rsidR="00000000" w:rsidRPr="00000000">
              <w:rPr>
                <w:rtl w:val="0"/>
              </w:rPr>
              <w:t xml:space="preserve">Tier 3</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88">
            <w:pPr>
              <w:spacing w:after="0" w:before="0" w:line="240" w:lineRule="auto"/>
              <w:ind w:left="0" w:firstLine="0"/>
              <w:contextualSpacing w:val="0"/>
              <w:rPr/>
            </w:pPr>
            <w:r w:rsidDel="00000000" w:rsidR="00000000" w:rsidRPr="00000000">
              <w:rPr>
                <w:rtl w:val="0"/>
              </w:rPr>
              <w:t xml:space="preserve">A location important across the world</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8E">
            <w:pPr>
              <w:spacing w:after="0" w:before="0" w:line="240" w:lineRule="auto"/>
              <w:ind w:left="0" w:firstLine="0"/>
              <w:contextualSpacing w:val="0"/>
              <w:rPr/>
            </w:pPr>
            <w:r w:rsidDel="00000000" w:rsidR="00000000" w:rsidRPr="00000000">
              <w:rPr>
                <w:rtl w:val="0"/>
              </w:rPr>
              <w:t xml:space="preserve">Tier 4</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8F">
            <w:pPr>
              <w:spacing w:after="0" w:before="0" w:line="240" w:lineRule="auto"/>
              <w:ind w:left="0" w:firstLine="0"/>
              <w:contextualSpacing w:val="0"/>
              <w:rPr/>
            </w:pPr>
            <w:r w:rsidDel="00000000" w:rsidR="00000000" w:rsidRPr="00000000">
              <w:rPr>
                <w:rtl w:val="0"/>
              </w:rPr>
              <w:t xml:space="preserve">A location of cosmic importance</w:t>
            </w:r>
          </w:p>
        </w:tc>
      </w:tr>
    </w:tbl>
    <w:p w:rsidR="00000000" w:rsidDel="00000000" w:rsidP="00000000" w:rsidRDefault="00000000" w:rsidRPr="00000000" w14:paraId="00000095">
      <w:pPr>
        <w:contextualSpacing w:val="0"/>
        <w:rPr/>
      </w:pPr>
      <w:r w:rsidDel="00000000" w:rsidR="00000000" w:rsidRPr="00000000">
        <w:rPr>
          <w:rtl w:val="0"/>
        </w:rPr>
        <w:tab/>
        <w:tab/>
        <w:tab/>
        <w:tab/>
      </w:r>
    </w:p>
    <w:p w:rsidR="00000000" w:rsidDel="00000000" w:rsidP="00000000" w:rsidRDefault="00000000" w:rsidRPr="00000000" w14:paraId="00000096">
      <w:pPr>
        <w:pStyle w:val="Heading1"/>
        <w:keepNext w:val="0"/>
        <w:keepLines w:val="0"/>
        <w:spacing w:after="120" w:before="240" w:lineRule="auto"/>
        <w:contextualSpacing w:val="0"/>
        <w:rPr/>
      </w:pPr>
      <w:bookmarkStart w:colFirst="0" w:colLast="0" w:name="_eut66m8zzion" w:id="6"/>
      <w:bookmarkEnd w:id="6"/>
      <w:r w:rsidDel="00000000" w:rsidR="00000000" w:rsidRPr="00000000">
        <w:rPr>
          <w:rtl w:val="0"/>
        </w:rPr>
        <w:t xml:space="preserve">Pillar 2: Social Interaction</w:t>
      </w:r>
    </w:p>
    <w:p w:rsidR="00000000" w:rsidDel="00000000" w:rsidP="00000000" w:rsidRDefault="00000000" w:rsidRPr="00000000" w14:paraId="00000097">
      <w:pPr>
        <w:contextualSpacing w:val="0"/>
        <w:rPr/>
      </w:pPr>
      <w:r w:rsidDel="00000000" w:rsidR="00000000" w:rsidRPr="00000000">
        <w:pict>
          <v:rect style="width:0.0pt;height:1.5pt" o:hr="t" o:hrstd="t" o:hralign="center" fillcolor="#A0A0A0" stroked="f"/>
        </w:pict>
      </w:r>
      <w:r w:rsidDel="00000000" w:rsidR="00000000" w:rsidRPr="00000000">
        <w:rPr>
          <w:rtl w:val="0"/>
        </w:rPr>
        <w:tab/>
        <w:tab/>
        <w:tab/>
      </w:r>
    </w:p>
    <w:p w:rsidR="00000000" w:rsidDel="00000000" w:rsidP="00000000" w:rsidRDefault="00000000" w:rsidRPr="00000000" w14:paraId="00000098">
      <w:pPr>
        <w:pStyle w:val="Heading2"/>
        <w:contextualSpacing w:val="0"/>
        <w:rPr/>
      </w:pPr>
      <w:bookmarkStart w:colFirst="0" w:colLast="0" w:name="_dfevjepdeo7x" w:id="7"/>
      <w:bookmarkEnd w:id="7"/>
      <w:r w:rsidDel="00000000" w:rsidR="00000000" w:rsidRPr="00000000">
        <w:rPr>
          <w:rtl w:val="0"/>
        </w:rPr>
        <w:t xml:space="preserve">NPCs</w:t>
      </w:r>
    </w:p>
    <w:p w:rsidR="00000000" w:rsidDel="00000000" w:rsidP="00000000" w:rsidRDefault="00000000" w:rsidRPr="00000000" w14:paraId="00000099">
      <w:pPr>
        <w:contextualSpacing w:val="0"/>
        <w:rPr/>
      </w:pPr>
      <w:r w:rsidDel="00000000" w:rsidR="00000000" w:rsidRPr="00000000">
        <w:rPr>
          <w:rtl w:val="0"/>
        </w:rPr>
        <w:tab/>
        <w:tab/>
        <w:tab/>
        <w:tab/>
      </w:r>
    </w:p>
    <w:p w:rsidR="00000000" w:rsidDel="00000000" w:rsidP="00000000" w:rsidRDefault="00000000" w:rsidRPr="00000000" w14:paraId="0000009A">
      <w:pPr>
        <w:contextualSpacing w:val="0"/>
        <w:rPr/>
      </w:pPr>
      <w:r w:rsidDel="00000000" w:rsidR="00000000" w:rsidRPr="00000000">
        <w:rPr>
          <w:rtl w:val="0"/>
        </w:rPr>
        <w:t xml:space="preserve">Players gain XP for turning important NPCs into allies, aligning them with their cause or denying them as assets to their enemies. The XP they gain is based on the NPC's power and influence.</w:t>
      </w:r>
    </w:p>
    <w:p w:rsidR="00000000" w:rsidDel="00000000" w:rsidP="00000000" w:rsidRDefault="00000000" w:rsidRPr="00000000" w14:paraId="0000009B">
      <w:pPr>
        <w:contextualSpacing w:val="0"/>
        <w:rPr/>
      </w:pPr>
      <w:r w:rsidDel="00000000" w:rsidR="00000000" w:rsidRPr="00000000">
        <w:rPr>
          <w:rtl w:val="0"/>
        </w:rPr>
        <w:t xml:space="preserve">      Each player gains 5% at their tier, 5% additional for every tier above, 2% for below their tier.</w:t>
      </w:r>
    </w:p>
    <w:p w:rsidR="00000000" w:rsidDel="00000000" w:rsidP="00000000" w:rsidRDefault="00000000" w:rsidRPr="00000000" w14:paraId="0000009C">
      <w:pPr>
        <w:contextualSpacing w:val="0"/>
        <w:rPr/>
      </w:pPr>
      <w:r w:rsidDel="00000000" w:rsidR="00000000" w:rsidRPr="00000000">
        <w:rPr>
          <w:rtl w:val="0"/>
        </w:rPr>
        <w:tab/>
        <w:tab/>
        <w:tab/>
        <w:tab/>
      </w:r>
    </w:p>
    <w:tbl>
      <w:tblPr>
        <w:tblStyle w:val="Table4"/>
        <w:tblW w:w="11520.0" w:type="dxa"/>
        <w:jc w:val="left"/>
        <w:tblInd w:w="21.6" w:type="pct"/>
        <w:tblLayout w:type="fixed"/>
        <w:tblLook w:val="0600"/>
      </w:tblPr>
      <w:tblGrid>
        <w:gridCol w:w="800"/>
        <w:gridCol w:w="8645"/>
        <w:gridCol w:w="415"/>
        <w:gridCol w:w="415"/>
        <w:gridCol w:w="415"/>
        <w:gridCol w:w="415"/>
        <w:gridCol w:w="415"/>
        <w:tblGridChange w:id="0">
          <w:tblGrid>
            <w:gridCol w:w="800"/>
            <w:gridCol w:w="8645"/>
            <w:gridCol w:w="415"/>
            <w:gridCol w:w="415"/>
            <w:gridCol w:w="415"/>
            <w:gridCol w:w="415"/>
            <w:gridCol w:w="415"/>
          </w:tblGrid>
        </w:tblGridChange>
      </w:tblGrid>
      <w:tr>
        <w:tc>
          <w:tcPr>
            <w:shd w:fill="auto" w:val="clear"/>
            <w:tcMar>
              <w:top w:w="21.6" w:type="dxa"/>
              <w:left w:w="21.6" w:type="dxa"/>
              <w:bottom w:w="21.6" w:type="dxa"/>
              <w:right w:w="21.6" w:type="dxa"/>
            </w:tcMar>
            <w:vAlign w:val="top"/>
          </w:tcPr>
          <w:p w:rsidR="00000000" w:rsidDel="00000000" w:rsidP="00000000" w:rsidRDefault="00000000" w:rsidRPr="00000000" w14:paraId="0000009D">
            <w:pPr>
              <w:spacing w:after="0" w:before="0" w:line="240" w:lineRule="auto"/>
              <w:ind w:left="0" w:firstLine="0"/>
              <w:contextualSpacing w:val="0"/>
              <w:rPr/>
            </w:pPr>
            <w:r w:rsidDel="00000000" w:rsidR="00000000" w:rsidRPr="00000000">
              <w:rPr>
                <w:rtl w:val="0"/>
              </w:rPr>
              <w:t xml:space="preserve">Tier 1</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9E">
            <w:pPr>
              <w:spacing w:after="0" w:before="0" w:line="240" w:lineRule="auto"/>
              <w:ind w:left="0" w:firstLine="0"/>
              <w:contextualSpacing w:val="0"/>
              <w:rPr/>
            </w:pPr>
            <w:r w:rsidDel="00000000" w:rsidR="00000000" w:rsidRPr="00000000">
              <w:rPr>
                <w:rtl w:val="0"/>
              </w:rPr>
              <w:t xml:space="preserve">An NPC with influence over a small town or village, or the equivalent</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t xml:space="preserve">Tier 2</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A5">
            <w:pPr>
              <w:spacing w:after="0" w:before="0" w:line="240" w:lineRule="auto"/>
              <w:ind w:left="0" w:firstLine="0"/>
              <w:contextualSpacing w:val="0"/>
              <w:rPr/>
            </w:pPr>
            <w:r w:rsidDel="00000000" w:rsidR="00000000" w:rsidRPr="00000000">
              <w:rPr>
                <w:rtl w:val="0"/>
              </w:rPr>
              <w:t xml:space="preserve">An NPC with influence over a city or the equivalent</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AB">
            <w:pPr>
              <w:spacing w:after="0" w:before="0" w:line="240" w:lineRule="auto"/>
              <w:ind w:left="0" w:firstLine="0"/>
              <w:contextualSpacing w:val="0"/>
              <w:rPr/>
            </w:pPr>
            <w:r w:rsidDel="00000000" w:rsidR="00000000" w:rsidRPr="00000000">
              <w:rPr>
                <w:rtl w:val="0"/>
              </w:rPr>
              <w:t xml:space="preserve">Tier 3</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AC">
            <w:pPr>
              <w:spacing w:after="0" w:before="0" w:line="240" w:lineRule="auto"/>
              <w:ind w:left="0" w:firstLine="0"/>
              <w:contextualSpacing w:val="0"/>
              <w:rPr/>
            </w:pPr>
            <w:r w:rsidDel="00000000" w:rsidR="00000000" w:rsidRPr="00000000">
              <w:rPr>
                <w:rtl w:val="0"/>
              </w:rPr>
              <w:t xml:space="preserve">An NPC with influence over a kingdom, continent, or the equivalent</w:t>
            </w:r>
          </w:p>
        </w:tc>
      </w:tr>
      <w:tr>
        <w:tc>
          <w:tcPr>
            <w:shd w:fill="auto" w:val="clear"/>
            <w:tcMar>
              <w:top w:w="21.6" w:type="dxa"/>
              <w:left w:w="21.6" w:type="dxa"/>
              <w:bottom w:w="21.6" w:type="dxa"/>
              <w:right w:w="21.6" w:type="dxa"/>
            </w:tcMar>
            <w:vAlign w:val="top"/>
          </w:tcPr>
          <w:p w:rsidR="00000000" w:rsidDel="00000000" w:rsidP="00000000" w:rsidRDefault="00000000" w:rsidRPr="00000000" w14:paraId="000000B2">
            <w:pPr>
              <w:spacing w:after="0" w:before="0" w:line="240" w:lineRule="auto"/>
              <w:ind w:left="0" w:firstLine="0"/>
              <w:contextualSpacing w:val="0"/>
              <w:rPr/>
            </w:pPr>
            <w:r w:rsidDel="00000000" w:rsidR="00000000" w:rsidRPr="00000000">
              <w:rPr>
                <w:rtl w:val="0"/>
              </w:rPr>
              <w:t xml:space="preserve">Tier 4</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0B3">
            <w:pPr>
              <w:spacing w:after="0" w:before="0" w:line="240" w:lineRule="auto"/>
              <w:ind w:left="0" w:firstLine="0"/>
              <w:contextualSpacing w:val="0"/>
              <w:rPr/>
            </w:pPr>
            <w:r w:rsidDel="00000000" w:rsidR="00000000" w:rsidRPr="00000000">
              <w:rPr>
                <w:rtl w:val="0"/>
              </w:rPr>
              <w:t xml:space="preserve">An NPC (including a deity) with cosmic significance or influence across multiple worlds.</w:t>
            </w:r>
          </w:p>
        </w:tc>
      </w:tr>
    </w:tbl>
    <w:p w:rsidR="00000000" w:rsidDel="00000000" w:rsidP="00000000" w:rsidRDefault="00000000" w:rsidRPr="00000000" w14:paraId="000000B9">
      <w:pPr>
        <w:contextualSpacing w:val="0"/>
        <w:rPr/>
      </w:pPr>
      <w:r w:rsidDel="00000000" w:rsidR="00000000" w:rsidRPr="00000000">
        <w:rPr>
          <w:rtl w:val="0"/>
        </w:rPr>
        <w:tab/>
        <w:tab/>
        <w:tab/>
        <w:tab/>
      </w:r>
    </w:p>
    <w:p w:rsidR="00000000" w:rsidDel="00000000" w:rsidP="00000000" w:rsidRDefault="00000000" w:rsidRPr="00000000" w14:paraId="000000BA">
      <w:pPr>
        <w:pStyle w:val="Heading2"/>
        <w:contextualSpacing w:val="0"/>
        <w:rPr/>
      </w:pPr>
      <w:bookmarkStart w:colFirst="0" w:colLast="0" w:name="_2kpca3bvusxe" w:id="8"/>
      <w:bookmarkEnd w:id="8"/>
      <w:r w:rsidDel="00000000" w:rsidR="00000000" w:rsidRPr="00000000">
        <w:rPr>
          <w:rtl w:val="0"/>
        </w:rPr>
        <w:t xml:space="preserve">Role Play</w:t>
      </w:r>
    </w:p>
    <w:p w:rsidR="00000000" w:rsidDel="00000000" w:rsidP="00000000" w:rsidRDefault="00000000" w:rsidRPr="00000000" w14:paraId="000000BB">
      <w:pPr>
        <w:contextualSpacing w:val="0"/>
        <w:rPr/>
      </w:pPr>
      <w:r w:rsidDel="00000000" w:rsidR="00000000" w:rsidRPr="00000000">
        <w:rPr>
          <w:rtl w:val="0"/>
        </w:rPr>
        <w:tab/>
        <w:tab/>
        <w:tab/>
        <w:tab/>
      </w:r>
    </w:p>
    <w:p w:rsidR="00000000" w:rsidDel="00000000" w:rsidP="00000000" w:rsidRDefault="00000000" w:rsidRPr="00000000" w14:paraId="000000BC">
      <w:pPr>
        <w:contextualSpacing w:val="0"/>
        <w:rPr/>
      </w:pPr>
      <w:r w:rsidDel="00000000" w:rsidR="00000000" w:rsidRPr="00000000">
        <w:rPr>
          <w:rtl w:val="0"/>
        </w:rPr>
        <w:t xml:space="preserve">This modified Three Pillar method also rewards players for inter-party role play. The difficulty of inter-party role play should remain fairly constant throughout all tiers of play, so unlike the other categories in this method it is not awarded based on tier. Instead, it is awarded for specific group activities.</w:t>
      </w:r>
    </w:p>
    <w:p w:rsidR="00000000" w:rsidDel="00000000" w:rsidP="00000000" w:rsidRDefault="00000000" w:rsidRPr="00000000" w14:paraId="000000BD">
      <w:pPr>
        <w:contextualSpacing w:val="0"/>
        <w:rPr/>
      </w:pPr>
      <w:r w:rsidDel="00000000" w:rsidR="00000000" w:rsidRPr="00000000">
        <w:rPr>
          <w:rtl w:val="0"/>
        </w:rPr>
        <w:t xml:space="preserve">      When the party interacts in character during a session, each member gains 5%. If the interaction is only partially in character, they gain 2%. If they create a story-changing or divergent moment, they gain an extra 5%.</w:t>
      </w:r>
    </w:p>
    <w:p w:rsidR="00000000" w:rsidDel="00000000" w:rsidP="00000000" w:rsidRDefault="00000000" w:rsidRPr="00000000" w14:paraId="000000BE">
      <w:pPr>
        <w:contextualSpacing w:val="0"/>
        <w:rPr/>
      </w:pPr>
      <w:r w:rsidDel="00000000" w:rsidR="00000000" w:rsidRPr="00000000">
        <w:rPr>
          <w:rtl w:val="0"/>
        </w:rPr>
        <w:tab/>
        <w:tab/>
        <w:tab/>
        <w:tab/>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Here are some examples of these interactions (obviously party interaction situations are not limited to these):</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The party argues in character.</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The party comes to a decision in character.</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The party solves a mystery or puzzle in character.</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Some party members conspire to play a trick on another party member</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Some party members confront other party members about a problem or secret.</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The party convinces an NPC to give them information that the NPC previously did not want to give, a significantly lower price on an item, or another form of important help.</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More than half the party gains inspiration or role plays their TBIFs.</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The party agrees to take a quest from an NPC in need.</w:t>
        <w:tab/>
      </w:r>
    </w:p>
    <w:p w:rsidR="00000000" w:rsidDel="00000000" w:rsidP="00000000" w:rsidRDefault="00000000" w:rsidRPr="00000000" w14:paraId="000000C8">
      <w:pPr>
        <w:pStyle w:val="Heading1"/>
        <w:keepNext w:val="0"/>
        <w:keepLines w:val="0"/>
        <w:spacing w:after="120" w:before="240" w:lineRule="auto"/>
        <w:contextualSpacing w:val="0"/>
        <w:rPr/>
      </w:pPr>
      <w:bookmarkStart w:colFirst="0" w:colLast="0" w:name="_rhd6kpbskyve" w:id="9"/>
      <w:bookmarkEnd w:id="9"/>
      <w:r w:rsidDel="00000000" w:rsidR="00000000" w:rsidRPr="00000000">
        <w:rPr>
          <w:rtl w:val="0"/>
        </w:rPr>
        <w:t xml:space="preserve">Pillar 3: Combat</w:t>
      </w:r>
    </w:p>
    <w:p w:rsidR="00000000" w:rsidDel="00000000" w:rsidP="00000000" w:rsidRDefault="00000000" w:rsidRPr="00000000" w14:paraId="000000C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ab/>
        <w:tab/>
        <w:tab/>
        <w:tab/>
      </w:r>
    </w:p>
    <w:p w:rsidR="00000000" w:rsidDel="00000000" w:rsidP="00000000" w:rsidRDefault="00000000" w:rsidRPr="00000000" w14:paraId="000000CB">
      <w:pPr>
        <w:contextualSpacing w:val="0"/>
        <w:rPr/>
      </w:pPr>
      <w:r w:rsidDel="00000000" w:rsidR="00000000" w:rsidRPr="00000000">
        <w:rPr>
          <w:rtl w:val="0"/>
        </w:rPr>
        <w:t xml:space="preserve">Players gain 85% of the encounter XP, rounding decimals down, divided between them and any NPCs that contributed. This is used for combats, traps, and puzzles which award XP.</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Reddit Formatting</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I liked the idea of three pillar experience, but it had many flaws, so I made some heavy modifications. Here's why it's better:</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 It uses the regular Character Advancement table from the Player's Handbook</w:t>
      </w:r>
    </w:p>
    <w:p w:rsidR="00000000" w:rsidDel="00000000" w:rsidP="00000000" w:rsidRDefault="00000000" w:rsidRPr="00000000" w14:paraId="000000D7">
      <w:pPr>
        <w:contextualSpacing w:val="0"/>
        <w:rPr/>
      </w:pPr>
      <w:r w:rsidDel="00000000" w:rsidR="00000000" w:rsidRPr="00000000">
        <w:rPr>
          <w:rtl w:val="0"/>
        </w:rPr>
        <w:t xml:space="preserve">- It allows to DM to award encounter XP</w:t>
      </w:r>
    </w:p>
    <w:p w:rsidR="00000000" w:rsidDel="00000000" w:rsidP="00000000" w:rsidRDefault="00000000" w:rsidRPr="00000000" w14:paraId="000000D8">
      <w:pPr>
        <w:contextualSpacing w:val="0"/>
        <w:rPr/>
      </w:pPr>
      <w:r w:rsidDel="00000000" w:rsidR="00000000" w:rsidRPr="00000000">
        <w:rPr>
          <w:rtl w:val="0"/>
        </w:rPr>
        <w:t xml:space="preserve">- It rewards players for inter-party role play as well as role play with NPC's</w:t>
      </w:r>
    </w:p>
    <w:p w:rsidR="00000000" w:rsidDel="00000000" w:rsidP="00000000" w:rsidRDefault="00000000" w:rsidRPr="00000000" w14:paraId="000000D9">
      <w:pPr>
        <w:contextualSpacing w:val="0"/>
        <w:rPr/>
      </w:pPr>
      <w:r w:rsidDel="00000000" w:rsidR="00000000" w:rsidRPr="00000000">
        <w:rPr>
          <w:rtl w:val="0"/>
        </w:rPr>
        <w:t xml:space="preserve">- It rewards players for discovering the rarest items appropriate to their tier according to Xanathar's Guide (the original required players to discover items above their tier.)</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#The Three Pillars of Play</w:t>
      </w:r>
    </w:p>
    <w:p w:rsidR="00000000" w:rsidDel="00000000" w:rsidP="00000000" w:rsidRDefault="00000000" w:rsidRPr="00000000" w14:paraId="000000DC">
      <w:pPr>
        <w:contextualSpacing w:val="0"/>
        <w:rPr/>
      </w:pPr>
      <w:r w:rsidDel="00000000" w:rsidR="00000000" w:rsidRPr="00000000">
        <w:rPr>
          <w:rtl w:val="0"/>
        </w:rPr>
        <w:t xml:space="preserv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For an explaination of the three pillars of play, see the original UA. In short, players get XP for each of the three pillars: exploration, social interaction, and combat.</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#Gaining Levels</w:t>
      </w:r>
    </w:p>
    <w:p w:rsidR="00000000" w:rsidDel="00000000" w:rsidP="00000000" w:rsidRDefault="00000000" w:rsidRPr="00000000" w14:paraId="000000E1">
      <w:pPr>
        <w:contextualSpacing w:val="0"/>
        <w:rPr/>
      </w:pPr>
      <w:r w:rsidDel="00000000" w:rsidR="00000000" w:rsidRPr="00000000">
        <w:rPr>
          <w:rtl w:val="0"/>
        </w:rPr>
        <w:t xml:space="preserve">*****</w:t>
      </w:r>
    </w:p>
    <w:p w:rsidR="00000000" w:rsidDel="00000000" w:rsidP="00000000" w:rsidRDefault="00000000" w:rsidRPr="00000000" w14:paraId="000000E2">
      <w:pPr>
        <w:contextualSpacing w:val="0"/>
        <w:rPr/>
      </w:pPr>
      <w:r w:rsidDel="00000000" w:rsidR="00000000" w:rsidRPr="00000000">
        <w:rPr>
          <w:rtl w:val="0"/>
        </w:rPr>
        <w:t xml:space="preserve"> Players gain levels according to the normal PHB Character Advancement table.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  XP </w:t>
        <w:tab/>
        <w:t xml:space="preserve">| Level | XP to Next Level |</w:t>
      </w:r>
    </w:p>
    <w:p w:rsidR="00000000" w:rsidDel="00000000" w:rsidP="00000000" w:rsidRDefault="00000000" w:rsidRPr="00000000" w14:paraId="000000E5">
      <w:pPr>
        <w:contextualSpacing w:val="0"/>
        <w:rPr/>
      </w:pPr>
      <w:r w:rsidDel="00000000" w:rsidR="00000000" w:rsidRPr="00000000">
        <w:rPr>
          <w:rtl w:val="0"/>
        </w:rPr>
        <w:t xml:space="preserve">| ------- | ----- | ---------------- |</w:t>
      </w:r>
    </w:p>
    <w:p w:rsidR="00000000" w:rsidDel="00000000" w:rsidP="00000000" w:rsidRDefault="00000000" w:rsidRPr="00000000" w14:paraId="000000E6">
      <w:pPr>
        <w:contextualSpacing w:val="0"/>
        <w:rPr/>
      </w:pPr>
      <w:r w:rsidDel="00000000" w:rsidR="00000000" w:rsidRPr="00000000">
        <w:rPr>
          <w:rtl w:val="0"/>
        </w:rPr>
        <w:t xml:space="preserve">| 0   </w:t>
        <w:tab/>
        <w:t xml:space="preserve">| 1 </w:t>
        <w:tab/>
        <w:t xml:space="preserve">| 300          </w:t>
        <w:tab/>
        <w:t xml:space="preserve">|</w:t>
      </w:r>
    </w:p>
    <w:p w:rsidR="00000000" w:rsidDel="00000000" w:rsidP="00000000" w:rsidRDefault="00000000" w:rsidRPr="00000000" w14:paraId="000000E7">
      <w:pPr>
        <w:contextualSpacing w:val="0"/>
        <w:rPr/>
      </w:pPr>
      <w:r w:rsidDel="00000000" w:rsidR="00000000" w:rsidRPr="00000000">
        <w:rPr>
          <w:rtl w:val="0"/>
        </w:rPr>
        <w:t xml:space="preserve">| 300 </w:t>
        <w:tab/>
        <w:t xml:space="preserve">| 2 </w:t>
        <w:tab/>
        <w:t xml:space="preserve">| 600          </w:t>
        <w:tab/>
        <w:t xml:space="preserve">|</w:t>
      </w:r>
    </w:p>
    <w:p w:rsidR="00000000" w:rsidDel="00000000" w:rsidP="00000000" w:rsidRDefault="00000000" w:rsidRPr="00000000" w14:paraId="000000E8">
      <w:pPr>
        <w:contextualSpacing w:val="0"/>
        <w:rPr/>
      </w:pPr>
      <w:r w:rsidDel="00000000" w:rsidR="00000000" w:rsidRPr="00000000">
        <w:rPr>
          <w:rtl w:val="0"/>
        </w:rPr>
        <w:t xml:space="preserve">| 900 </w:t>
        <w:tab/>
        <w:t xml:space="preserve">| 3 </w:t>
        <w:tab/>
        <w:t xml:space="preserve">| 1,800        </w:t>
        <w:tab/>
        <w:t xml:space="preserve">|</w:t>
      </w:r>
    </w:p>
    <w:p w:rsidR="00000000" w:rsidDel="00000000" w:rsidP="00000000" w:rsidRDefault="00000000" w:rsidRPr="00000000" w14:paraId="000000E9">
      <w:pPr>
        <w:contextualSpacing w:val="0"/>
        <w:rPr/>
      </w:pPr>
      <w:r w:rsidDel="00000000" w:rsidR="00000000" w:rsidRPr="00000000">
        <w:rPr>
          <w:rtl w:val="0"/>
        </w:rPr>
        <w:t xml:space="preserve">| 2,700   | 4 </w:t>
        <w:tab/>
        <w:t xml:space="preserve">| 3,800        </w:t>
        <w:tab/>
        <w:t xml:space="preserve">|</w:t>
      </w:r>
    </w:p>
    <w:p w:rsidR="00000000" w:rsidDel="00000000" w:rsidP="00000000" w:rsidRDefault="00000000" w:rsidRPr="00000000" w14:paraId="000000EA">
      <w:pPr>
        <w:contextualSpacing w:val="0"/>
        <w:rPr/>
      </w:pPr>
      <w:r w:rsidDel="00000000" w:rsidR="00000000" w:rsidRPr="00000000">
        <w:rPr>
          <w:rtl w:val="0"/>
        </w:rPr>
        <w:t xml:space="preserve">| 6,500   | 5 </w:t>
        <w:tab/>
        <w:t xml:space="preserve">| 7,500        </w:t>
        <w:tab/>
        <w:t xml:space="preserve">|</w:t>
      </w:r>
    </w:p>
    <w:p w:rsidR="00000000" w:rsidDel="00000000" w:rsidP="00000000" w:rsidRDefault="00000000" w:rsidRPr="00000000" w14:paraId="000000EB">
      <w:pPr>
        <w:contextualSpacing w:val="0"/>
        <w:rPr/>
      </w:pPr>
      <w:r w:rsidDel="00000000" w:rsidR="00000000" w:rsidRPr="00000000">
        <w:rPr>
          <w:rtl w:val="0"/>
        </w:rPr>
        <w:t xml:space="preserve">| 14,000  | 6 </w:t>
        <w:tab/>
        <w:t xml:space="preserve">| 9,000        </w:t>
        <w:tab/>
        <w:t xml:space="preserve">|</w:t>
      </w:r>
    </w:p>
    <w:p w:rsidR="00000000" w:rsidDel="00000000" w:rsidP="00000000" w:rsidRDefault="00000000" w:rsidRPr="00000000" w14:paraId="000000EC">
      <w:pPr>
        <w:contextualSpacing w:val="0"/>
        <w:rPr/>
      </w:pPr>
      <w:r w:rsidDel="00000000" w:rsidR="00000000" w:rsidRPr="00000000">
        <w:rPr>
          <w:rtl w:val="0"/>
        </w:rPr>
        <w:t xml:space="preserve">| 23,000  | 7 </w:t>
        <w:tab/>
        <w:t xml:space="preserve">| 11,000       </w:t>
        <w:tab/>
        <w:t xml:space="preserve">|</w:t>
      </w:r>
    </w:p>
    <w:p w:rsidR="00000000" w:rsidDel="00000000" w:rsidP="00000000" w:rsidRDefault="00000000" w:rsidRPr="00000000" w14:paraId="000000ED">
      <w:pPr>
        <w:contextualSpacing w:val="0"/>
        <w:rPr/>
      </w:pPr>
      <w:r w:rsidDel="00000000" w:rsidR="00000000" w:rsidRPr="00000000">
        <w:rPr>
          <w:rtl w:val="0"/>
        </w:rPr>
        <w:t xml:space="preserve">| 34,000  | 8 </w:t>
        <w:tab/>
        <w:t xml:space="preserve">| 14,000       </w:t>
        <w:tab/>
        <w:t xml:space="preserve">|</w:t>
      </w:r>
    </w:p>
    <w:p w:rsidR="00000000" w:rsidDel="00000000" w:rsidP="00000000" w:rsidRDefault="00000000" w:rsidRPr="00000000" w14:paraId="000000EE">
      <w:pPr>
        <w:contextualSpacing w:val="0"/>
        <w:rPr/>
      </w:pPr>
      <w:r w:rsidDel="00000000" w:rsidR="00000000" w:rsidRPr="00000000">
        <w:rPr>
          <w:rtl w:val="0"/>
        </w:rPr>
        <w:t xml:space="preserve">| 48,000  | 9 </w:t>
        <w:tab/>
        <w:t xml:space="preserve">| 16,000       </w:t>
        <w:tab/>
        <w:t xml:space="preserve">|</w:t>
      </w:r>
    </w:p>
    <w:p w:rsidR="00000000" w:rsidDel="00000000" w:rsidP="00000000" w:rsidRDefault="00000000" w:rsidRPr="00000000" w14:paraId="000000EF">
      <w:pPr>
        <w:contextualSpacing w:val="0"/>
        <w:rPr/>
      </w:pPr>
      <w:r w:rsidDel="00000000" w:rsidR="00000000" w:rsidRPr="00000000">
        <w:rPr>
          <w:rtl w:val="0"/>
        </w:rPr>
        <w:t xml:space="preserve">| 64,000  | 10</w:t>
        <w:tab/>
        <w:t xml:space="preserve">| 21,000       </w:t>
        <w:tab/>
        <w:t xml:space="preserve">|</w:t>
      </w:r>
    </w:p>
    <w:p w:rsidR="00000000" w:rsidDel="00000000" w:rsidP="00000000" w:rsidRDefault="00000000" w:rsidRPr="00000000" w14:paraId="000000F0">
      <w:pPr>
        <w:contextualSpacing w:val="0"/>
        <w:rPr/>
      </w:pPr>
      <w:r w:rsidDel="00000000" w:rsidR="00000000" w:rsidRPr="00000000">
        <w:rPr>
          <w:rtl w:val="0"/>
        </w:rPr>
        <w:t xml:space="preserve">| 85,000  | 11</w:t>
        <w:tab/>
        <w:t xml:space="preserve">| 15,000       </w:t>
        <w:tab/>
        <w:t xml:space="preserve">|</w:t>
      </w:r>
    </w:p>
    <w:p w:rsidR="00000000" w:rsidDel="00000000" w:rsidP="00000000" w:rsidRDefault="00000000" w:rsidRPr="00000000" w14:paraId="000000F1">
      <w:pPr>
        <w:contextualSpacing w:val="0"/>
        <w:rPr/>
      </w:pPr>
      <w:r w:rsidDel="00000000" w:rsidR="00000000" w:rsidRPr="00000000">
        <w:rPr>
          <w:rtl w:val="0"/>
        </w:rPr>
        <w:t xml:space="preserve">| 100,000 | 12</w:t>
        <w:tab/>
        <w:t xml:space="preserve">| 20,000       </w:t>
        <w:tab/>
        <w:t xml:space="preserve">|</w:t>
      </w:r>
    </w:p>
    <w:p w:rsidR="00000000" w:rsidDel="00000000" w:rsidP="00000000" w:rsidRDefault="00000000" w:rsidRPr="00000000" w14:paraId="000000F2">
      <w:pPr>
        <w:contextualSpacing w:val="0"/>
        <w:rPr/>
      </w:pPr>
      <w:r w:rsidDel="00000000" w:rsidR="00000000" w:rsidRPr="00000000">
        <w:rPr>
          <w:rtl w:val="0"/>
        </w:rPr>
        <w:t xml:space="preserve">| 120,000 | 13</w:t>
        <w:tab/>
        <w:t xml:space="preserve">| 20,000       </w:t>
        <w:tab/>
        <w:t xml:space="preserve">|</w:t>
      </w:r>
    </w:p>
    <w:p w:rsidR="00000000" w:rsidDel="00000000" w:rsidP="00000000" w:rsidRDefault="00000000" w:rsidRPr="00000000" w14:paraId="000000F3">
      <w:pPr>
        <w:contextualSpacing w:val="0"/>
        <w:rPr/>
      </w:pPr>
      <w:r w:rsidDel="00000000" w:rsidR="00000000" w:rsidRPr="00000000">
        <w:rPr>
          <w:rtl w:val="0"/>
        </w:rPr>
        <w:t xml:space="preserve">| 140,000 | 14</w:t>
        <w:tab/>
        <w:t xml:space="preserve">| 25,000       </w:t>
        <w:tab/>
        <w:t xml:space="preserve">|</w:t>
      </w:r>
    </w:p>
    <w:p w:rsidR="00000000" w:rsidDel="00000000" w:rsidP="00000000" w:rsidRDefault="00000000" w:rsidRPr="00000000" w14:paraId="000000F4">
      <w:pPr>
        <w:contextualSpacing w:val="0"/>
        <w:rPr/>
      </w:pPr>
      <w:r w:rsidDel="00000000" w:rsidR="00000000" w:rsidRPr="00000000">
        <w:rPr>
          <w:rtl w:val="0"/>
        </w:rPr>
        <w:t xml:space="preserve">| 165,000 | 15</w:t>
        <w:tab/>
        <w:t xml:space="preserve">| 30,000       </w:t>
        <w:tab/>
        <w:t xml:space="preserve">|</w:t>
      </w:r>
    </w:p>
    <w:p w:rsidR="00000000" w:rsidDel="00000000" w:rsidP="00000000" w:rsidRDefault="00000000" w:rsidRPr="00000000" w14:paraId="000000F5">
      <w:pPr>
        <w:contextualSpacing w:val="0"/>
        <w:rPr/>
      </w:pPr>
      <w:r w:rsidDel="00000000" w:rsidR="00000000" w:rsidRPr="00000000">
        <w:rPr>
          <w:rtl w:val="0"/>
        </w:rPr>
        <w:t xml:space="preserve">| 195,000 | 16</w:t>
        <w:tab/>
        <w:t xml:space="preserve">| 30,000       </w:t>
        <w:tab/>
        <w:t xml:space="preserve">|</w:t>
      </w:r>
    </w:p>
    <w:p w:rsidR="00000000" w:rsidDel="00000000" w:rsidP="00000000" w:rsidRDefault="00000000" w:rsidRPr="00000000" w14:paraId="000000F6">
      <w:pPr>
        <w:contextualSpacing w:val="0"/>
        <w:rPr/>
      </w:pPr>
      <w:r w:rsidDel="00000000" w:rsidR="00000000" w:rsidRPr="00000000">
        <w:rPr>
          <w:rtl w:val="0"/>
        </w:rPr>
        <w:t xml:space="preserve">| 225,000 | 17</w:t>
        <w:tab/>
        <w:t xml:space="preserve">| 40,000       </w:t>
        <w:tab/>
        <w:t xml:space="preserve">|</w:t>
      </w:r>
    </w:p>
    <w:p w:rsidR="00000000" w:rsidDel="00000000" w:rsidP="00000000" w:rsidRDefault="00000000" w:rsidRPr="00000000" w14:paraId="000000F7">
      <w:pPr>
        <w:contextualSpacing w:val="0"/>
        <w:rPr/>
      </w:pPr>
      <w:r w:rsidDel="00000000" w:rsidR="00000000" w:rsidRPr="00000000">
        <w:rPr>
          <w:rtl w:val="0"/>
        </w:rPr>
        <w:t xml:space="preserve">| 265,000 | 18</w:t>
        <w:tab/>
        <w:t xml:space="preserve">| 40,000       </w:t>
        <w:tab/>
        <w:t xml:space="preserve">|</w:t>
      </w:r>
    </w:p>
    <w:p w:rsidR="00000000" w:rsidDel="00000000" w:rsidP="00000000" w:rsidRDefault="00000000" w:rsidRPr="00000000" w14:paraId="000000F8">
      <w:pPr>
        <w:contextualSpacing w:val="0"/>
        <w:rPr/>
      </w:pPr>
      <w:r w:rsidDel="00000000" w:rsidR="00000000" w:rsidRPr="00000000">
        <w:rPr>
          <w:rtl w:val="0"/>
        </w:rPr>
        <w:t xml:space="preserve">| 302,000 | 19</w:t>
        <w:tab/>
        <w:t xml:space="preserve">| 50,000       </w:t>
        <w:tab/>
        <w:t xml:space="preserve">|</w:t>
      </w:r>
    </w:p>
    <w:p w:rsidR="00000000" w:rsidDel="00000000" w:rsidP="00000000" w:rsidRDefault="00000000" w:rsidRPr="00000000" w14:paraId="000000F9">
      <w:pPr>
        <w:contextualSpacing w:val="0"/>
        <w:rPr/>
      </w:pPr>
      <w:r w:rsidDel="00000000" w:rsidR="00000000" w:rsidRPr="00000000">
        <w:rPr>
          <w:rtl w:val="0"/>
        </w:rPr>
        <w:t xml:space="preserve">| 355,000 | 20</w:t>
        <w:tab/>
        <w:t xml:space="preserve">| See Epic Boons   |</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#Dividing XP</w:t>
      </w:r>
    </w:p>
    <w:p w:rsidR="00000000" w:rsidDel="00000000" w:rsidP="00000000" w:rsidRDefault="00000000" w:rsidRPr="00000000" w14:paraId="000000FC">
      <w:pPr>
        <w:contextualSpacing w:val="0"/>
        <w:rPr/>
      </w:pPr>
      <w:r w:rsidDel="00000000" w:rsidR="00000000" w:rsidRPr="00000000">
        <w:rPr>
          <w:rtl w:val="0"/>
        </w:rPr>
        <w:t xml:space="preserv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For Exploration and Social Interaction, the XP award for an adventure is the same for each member of the party, instead of being divided among them.</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However, this does not mean the XP is awarded for individual merit. XP is awarded when the party as a whole accomplishes something, without splitting hairs about who contributed to what the most.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#Awarding XP</w:t>
      </w:r>
    </w:p>
    <w:p w:rsidR="00000000" w:rsidDel="00000000" w:rsidP="00000000" w:rsidRDefault="00000000" w:rsidRPr="00000000" w14:paraId="00000103">
      <w:pPr>
        <w:contextualSpacing w:val="0"/>
        <w:rPr/>
      </w:pPr>
      <w:r w:rsidDel="00000000" w:rsidR="00000000" w:rsidRPr="00000000">
        <w:rPr>
          <w:rtl w:val="0"/>
        </w:rPr>
        <w:t xml:space="preserve">*****</w:t>
      </w:r>
    </w:p>
    <w:p w:rsidR="00000000" w:rsidDel="00000000" w:rsidP="00000000" w:rsidRDefault="00000000" w:rsidRPr="00000000" w14:paraId="00000104">
      <w:pPr>
        <w:contextualSpacing w:val="0"/>
        <w:rPr/>
      </w:pPr>
      <w:r w:rsidDel="00000000" w:rsidR="00000000" w:rsidRPr="00000000">
        <w:rPr>
          <w:rtl w:val="0"/>
        </w:rPr>
        <w:t xml:space="preserve">Instead of rewarding a fixed amount of XP, for Exploration and Social Interaction players receive a percentage of the XP required for them to get from their current level to the next (calculated from the base XP of their level to the next, not including XP they've earned in between.)</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They may receive a higher or lower percentage depending on their tier of play compared to the magnitude of their accomplishment.  </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pPr>
      <w:r w:rsidDel="00000000" w:rsidR="00000000" w:rsidRPr="00000000">
        <w:rPr>
          <w:rtl w:val="0"/>
        </w:rPr>
        <w:t xml:space="preserve">#*Exploration*</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For discovering both Items and Locations, each player gains 5% for a goal at their tier, 5% additional for every goal from a tier above, none for a goal below their tier.</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##Items</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In this version, players are rewarded for discovering magic items that are of the highest nonconsumable rarity suggested for their tier as per Xanathar's Guide.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 Tier   | Goal                                                                      </w:t>
        <w:tab/>
        <w:t xml:space="preserve">|</w:t>
      </w:r>
    </w:p>
    <w:p w:rsidR="00000000" w:rsidDel="00000000" w:rsidP="00000000" w:rsidRDefault="00000000" w:rsidRPr="00000000" w14:paraId="00000112">
      <w:pPr>
        <w:contextualSpacing w:val="0"/>
        <w:rPr/>
      </w:pPr>
      <w:r w:rsidDel="00000000" w:rsidR="00000000" w:rsidRPr="00000000">
        <w:rPr>
          <w:rtl w:val="0"/>
        </w:rPr>
        <w:t xml:space="preserve">| ------ | ----------------------------------------------------------------------------- |</w:t>
      </w:r>
    </w:p>
    <w:p w:rsidR="00000000" w:rsidDel="00000000" w:rsidP="00000000" w:rsidRDefault="00000000" w:rsidRPr="00000000" w14:paraId="00000113">
      <w:pPr>
        <w:contextualSpacing w:val="0"/>
        <w:rPr/>
      </w:pPr>
      <w:r w:rsidDel="00000000" w:rsidR="00000000" w:rsidRPr="00000000">
        <w:rPr>
          <w:rtl w:val="0"/>
        </w:rPr>
        <w:t xml:space="preserve">| 1 | A single art object or gem worth 100 gp or more, or a major uncommon item </w:t>
        <w:tab/>
        <w:t xml:space="preserve">|</w:t>
      </w:r>
    </w:p>
    <w:p w:rsidR="00000000" w:rsidDel="00000000" w:rsidP="00000000" w:rsidRDefault="00000000" w:rsidRPr="00000000" w14:paraId="00000114">
      <w:pPr>
        <w:contextualSpacing w:val="0"/>
        <w:rPr/>
      </w:pPr>
      <w:r w:rsidDel="00000000" w:rsidR="00000000" w:rsidRPr="00000000">
        <w:rPr>
          <w:rtl w:val="0"/>
        </w:rPr>
        <w:t xml:space="preserve">| 2 | A single art object or gem worth 1,000 gp or more, or a major rare item   </w:t>
        <w:tab/>
        <w:t xml:space="preserve">|</w:t>
      </w:r>
    </w:p>
    <w:p w:rsidR="00000000" w:rsidDel="00000000" w:rsidP="00000000" w:rsidRDefault="00000000" w:rsidRPr="00000000" w14:paraId="00000115">
      <w:pPr>
        <w:contextualSpacing w:val="0"/>
        <w:rPr/>
      </w:pPr>
      <w:r w:rsidDel="00000000" w:rsidR="00000000" w:rsidRPr="00000000">
        <w:rPr>
          <w:rtl w:val="0"/>
        </w:rPr>
        <w:t xml:space="preserve">| 3 | A single art object or gem worth 5,000 gp or more, or a major very rare item  |</w:t>
      </w:r>
    </w:p>
    <w:p w:rsidR="00000000" w:rsidDel="00000000" w:rsidP="00000000" w:rsidRDefault="00000000" w:rsidRPr="00000000" w14:paraId="00000116">
      <w:pPr>
        <w:contextualSpacing w:val="0"/>
        <w:rPr/>
      </w:pPr>
      <w:r w:rsidDel="00000000" w:rsidR="00000000" w:rsidRPr="00000000">
        <w:rPr>
          <w:rtl w:val="0"/>
        </w:rPr>
        <w:t xml:space="preserve">| 4 | A single art object or gem worth 50,000 gp or more, or a major legendary item |</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##Locations</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A location's tier depends on the importance to your campaign, measured by the scope of its discovery or liberation's impact:</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  Tier | Goal                                        </w:t>
        <w:tab/>
        <w:t xml:space="preserve">|</w:t>
      </w:r>
    </w:p>
    <w:p w:rsidR="00000000" w:rsidDel="00000000" w:rsidP="00000000" w:rsidRDefault="00000000" w:rsidRPr="00000000" w14:paraId="0000011D">
      <w:pPr>
        <w:contextualSpacing w:val="0"/>
        <w:rPr/>
      </w:pPr>
      <w:r w:rsidDel="00000000" w:rsidR="00000000" w:rsidRPr="00000000">
        <w:rPr>
          <w:rtl w:val="0"/>
        </w:rPr>
        <w:t xml:space="preserve">| ----- | ----------------------------------------------- |</w:t>
      </w:r>
    </w:p>
    <w:p w:rsidR="00000000" w:rsidDel="00000000" w:rsidP="00000000" w:rsidRDefault="00000000" w:rsidRPr="00000000" w14:paraId="0000011E">
      <w:pPr>
        <w:contextualSpacing w:val="0"/>
        <w:rPr/>
      </w:pPr>
      <w:r w:rsidDel="00000000" w:rsidR="00000000" w:rsidRPr="00000000">
        <w:rPr>
          <w:rtl w:val="0"/>
        </w:rPr>
        <w:t xml:space="preserve">| 1 </w:t>
        <w:tab/>
        <w:t xml:space="preserve">| A location important to a small town or village |</w:t>
      </w:r>
    </w:p>
    <w:p w:rsidR="00000000" w:rsidDel="00000000" w:rsidP="00000000" w:rsidRDefault="00000000" w:rsidRPr="00000000" w14:paraId="0000011F">
      <w:pPr>
        <w:contextualSpacing w:val="0"/>
        <w:rPr/>
      </w:pPr>
      <w:r w:rsidDel="00000000" w:rsidR="00000000" w:rsidRPr="00000000">
        <w:rPr>
          <w:rtl w:val="0"/>
        </w:rPr>
        <w:t xml:space="preserve">| 2 </w:t>
        <w:tab/>
        <w:t xml:space="preserve">| A location vital to a kingdom               </w:t>
        <w:tab/>
        <w:t xml:space="preserve">|</w:t>
      </w:r>
    </w:p>
    <w:p w:rsidR="00000000" w:rsidDel="00000000" w:rsidP="00000000" w:rsidRDefault="00000000" w:rsidRPr="00000000" w14:paraId="00000120">
      <w:pPr>
        <w:contextualSpacing w:val="0"/>
        <w:rPr/>
      </w:pPr>
      <w:r w:rsidDel="00000000" w:rsidR="00000000" w:rsidRPr="00000000">
        <w:rPr>
          <w:rtl w:val="0"/>
        </w:rPr>
        <w:t xml:space="preserve">| 3 </w:t>
        <w:tab/>
        <w:t xml:space="preserve">| A location important across the world       </w:t>
        <w:tab/>
        <w:t xml:space="preserve">|</w:t>
      </w:r>
    </w:p>
    <w:p w:rsidR="00000000" w:rsidDel="00000000" w:rsidP="00000000" w:rsidRDefault="00000000" w:rsidRPr="00000000" w14:paraId="00000121">
      <w:pPr>
        <w:contextualSpacing w:val="0"/>
        <w:rPr/>
      </w:pPr>
      <w:r w:rsidDel="00000000" w:rsidR="00000000" w:rsidRPr="00000000">
        <w:rPr>
          <w:rtl w:val="0"/>
        </w:rPr>
        <w:t xml:space="preserve">| 4 </w:t>
        <w:tab/>
        <w:t xml:space="preserve">| A location of cosmic importance             </w:t>
        <w:tab/>
        <w:t xml:space="preserve">|</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#*Social Interaction*</w:t>
      </w:r>
    </w:p>
    <w:p w:rsidR="00000000" w:rsidDel="00000000" w:rsidP="00000000" w:rsidRDefault="00000000" w:rsidRPr="00000000" w14:paraId="00000124">
      <w:pPr>
        <w:contextualSpacing w:val="0"/>
        <w:rPr/>
      </w:pPr>
      <w:r w:rsidDel="00000000" w:rsidR="00000000" w:rsidRPr="00000000">
        <w:rPr>
          <w:rtl w:val="0"/>
        </w:rPr>
        <w:t xml:space="preserve">##NPCs</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Players gain XP for turning important NPCs into allies, aligning them with their cause or denying them as assets to their enemies. The XP they gain is based on the NPC's power and influence.</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Each player gains 5% for a goal at their tier, 5% additional for every tier above, 2% for a goal below their tier.</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  Tier | Goal                                                                                 </w:t>
        <w:tab/>
        <w:t xml:space="preserve">|</w:t>
      </w:r>
    </w:p>
    <w:p w:rsidR="00000000" w:rsidDel="00000000" w:rsidP="00000000" w:rsidRDefault="00000000" w:rsidRPr="00000000" w14:paraId="0000012B">
      <w:pPr>
        <w:contextualSpacing w:val="0"/>
        <w:rPr/>
      </w:pPr>
      <w:r w:rsidDel="00000000" w:rsidR="00000000" w:rsidRPr="00000000">
        <w:rPr>
          <w:rtl w:val="0"/>
        </w:rPr>
        <w:t xml:space="preserve">| ----- | ---------------------------------------------------------------------------------------- |</w:t>
      </w:r>
    </w:p>
    <w:p w:rsidR="00000000" w:rsidDel="00000000" w:rsidP="00000000" w:rsidRDefault="00000000" w:rsidRPr="00000000" w14:paraId="0000012C">
      <w:pPr>
        <w:contextualSpacing w:val="0"/>
        <w:rPr/>
      </w:pPr>
      <w:r w:rsidDel="00000000" w:rsidR="00000000" w:rsidRPr="00000000">
        <w:rPr>
          <w:rtl w:val="0"/>
        </w:rPr>
        <w:t xml:space="preserve">| 1 </w:t>
        <w:tab/>
        <w:t xml:space="preserve">| An NPC with influence over a small town or village, or the equivalent                </w:t>
        <w:tab/>
        <w:t xml:space="preserve">|</w:t>
      </w:r>
    </w:p>
    <w:p w:rsidR="00000000" w:rsidDel="00000000" w:rsidP="00000000" w:rsidRDefault="00000000" w:rsidRPr="00000000" w14:paraId="0000012D">
      <w:pPr>
        <w:contextualSpacing w:val="0"/>
        <w:rPr/>
      </w:pPr>
      <w:r w:rsidDel="00000000" w:rsidR="00000000" w:rsidRPr="00000000">
        <w:rPr>
          <w:rtl w:val="0"/>
        </w:rPr>
        <w:t xml:space="preserve">| 2 </w:t>
        <w:tab/>
        <w:t xml:space="preserve">| An NPC with influence over a city or the equivalent                                  </w:t>
        <w:tab/>
        <w:t xml:space="preserve">|</w:t>
      </w:r>
    </w:p>
    <w:p w:rsidR="00000000" w:rsidDel="00000000" w:rsidP="00000000" w:rsidRDefault="00000000" w:rsidRPr="00000000" w14:paraId="0000012E">
      <w:pPr>
        <w:contextualSpacing w:val="0"/>
        <w:rPr/>
      </w:pPr>
      <w:r w:rsidDel="00000000" w:rsidR="00000000" w:rsidRPr="00000000">
        <w:rPr>
          <w:rtl w:val="0"/>
        </w:rPr>
        <w:t xml:space="preserve">| 3 </w:t>
        <w:tab/>
        <w:t xml:space="preserve">| An NPC with influence over a kingdom, continent, or the equivalent                   </w:t>
        <w:tab/>
        <w:t xml:space="preserve">|</w:t>
      </w:r>
    </w:p>
    <w:p w:rsidR="00000000" w:rsidDel="00000000" w:rsidP="00000000" w:rsidRDefault="00000000" w:rsidRPr="00000000" w14:paraId="0000012F">
      <w:pPr>
        <w:contextualSpacing w:val="0"/>
        <w:rPr/>
      </w:pPr>
      <w:r w:rsidDel="00000000" w:rsidR="00000000" w:rsidRPr="00000000">
        <w:rPr>
          <w:rtl w:val="0"/>
        </w:rPr>
        <w:t xml:space="preserve">| 4 </w:t>
        <w:tab/>
        <w:t xml:space="preserve">| An NPC (including a deity) with cosmic significance or influence across multiple worlds. |</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##Role Play</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This modified Three Pillar method also rewards players for inter-party role play. The difficulty of inter-party role play should remain fairly constant throughout all tiers of play, so unlike the other categories in this method it is not awarded based on tier. Instead, it is awarded for specific group activities.</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When the party interacts in character during a session, each member gains 5%. If the interaction is only partially in character, they gain 2%. If they create a story-changing or divergent moment, they gain an extra 5%.</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Here are some examples of these interactions (obviously party interaction situations are not limited to these):</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 The party argues in character.</w:t>
      </w:r>
    </w:p>
    <w:p w:rsidR="00000000" w:rsidDel="00000000" w:rsidP="00000000" w:rsidRDefault="00000000" w:rsidRPr="00000000" w14:paraId="0000013A">
      <w:pPr>
        <w:contextualSpacing w:val="0"/>
        <w:rPr/>
      </w:pPr>
      <w:r w:rsidDel="00000000" w:rsidR="00000000" w:rsidRPr="00000000">
        <w:rPr>
          <w:rtl w:val="0"/>
        </w:rPr>
        <w:t xml:space="preserve">* The party comes to a decision in character.</w:t>
      </w:r>
    </w:p>
    <w:p w:rsidR="00000000" w:rsidDel="00000000" w:rsidP="00000000" w:rsidRDefault="00000000" w:rsidRPr="00000000" w14:paraId="0000013B">
      <w:pPr>
        <w:contextualSpacing w:val="0"/>
        <w:rPr/>
      </w:pPr>
      <w:r w:rsidDel="00000000" w:rsidR="00000000" w:rsidRPr="00000000">
        <w:rPr>
          <w:rtl w:val="0"/>
        </w:rPr>
        <w:t xml:space="preserve">* The party solves a mystery or puzzle in character.</w:t>
      </w:r>
    </w:p>
    <w:p w:rsidR="00000000" w:rsidDel="00000000" w:rsidP="00000000" w:rsidRDefault="00000000" w:rsidRPr="00000000" w14:paraId="0000013C">
      <w:pPr>
        <w:contextualSpacing w:val="0"/>
        <w:rPr/>
      </w:pPr>
      <w:r w:rsidDel="00000000" w:rsidR="00000000" w:rsidRPr="00000000">
        <w:rPr>
          <w:rtl w:val="0"/>
        </w:rPr>
        <w:t xml:space="preserve">* Some party members conspire to play a trick on another party member</w:t>
      </w:r>
    </w:p>
    <w:p w:rsidR="00000000" w:rsidDel="00000000" w:rsidP="00000000" w:rsidRDefault="00000000" w:rsidRPr="00000000" w14:paraId="0000013D">
      <w:pPr>
        <w:contextualSpacing w:val="0"/>
        <w:rPr/>
      </w:pPr>
      <w:r w:rsidDel="00000000" w:rsidR="00000000" w:rsidRPr="00000000">
        <w:rPr>
          <w:rtl w:val="0"/>
        </w:rPr>
        <w:t xml:space="preserve">* Some party members confront other party members about a problem or secret.</w:t>
      </w:r>
    </w:p>
    <w:p w:rsidR="00000000" w:rsidDel="00000000" w:rsidP="00000000" w:rsidRDefault="00000000" w:rsidRPr="00000000" w14:paraId="0000013E">
      <w:pPr>
        <w:contextualSpacing w:val="0"/>
        <w:rPr/>
      </w:pPr>
      <w:r w:rsidDel="00000000" w:rsidR="00000000" w:rsidRPr="00000000">
        <w:rPr>
          <w:rtl w:val="0"/>
        </w:rPr>
        <w:t xml:space="preserve">* The party convinces an NPC to give them information that the NPC previously did not want to give, a significantly lower price on an item, or another form of important help.</w:t>
      </w:r>
    </w:p>
    <w:p w:rsidR="00000000" w:rsidDel="00000000" w:rsidP="00000000" w:rsidRDefault="00000000" w:rsidRPr="00000000" w14:paraId="0000013F">
      <w:pPr>
        <w:contextualSpacing w:val="0"/>
        <w:rPr/>
      </w:pPr>
      <w:r w:rsidDel="00000000" w:rsidR="00000000" w:rsidRPr="00000000">
        <w:rPr>
          <w:rtl w:val="0"/>
        </w:rPr>
        <w:t xml:space="preserve">* More than half the party gains inspiration or role plays their traits, ideals, bonds, or flaws.</w:t>
      </w:r>
    </w:p>
    <w:p w:rsidR="00000000" w:rsidDel="00000000" w:rsidP="00000000" w:rsidRDefault="00000000" w:rsidRPr="00000000" w14:paraId="00000140">
      <w:pPr>
        <w:contextualSpacing w:val="0"/>
        <w:rPr/>
      </w:pPr>
      <w:r w:rsidDel="00000000" w:rsidR="00000000" w:rsidRPr="00000000">
        <w:rPr>
          <w:rtl w:val="0"/>
        </w:rPr>
        <w:t xml:space="preserve">* The party agrees to take a quest from an NPC in need.   </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#*Combat*</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Players gain 85% of the encounter XP, rounding decimals down, divided between them and any NPCs that contributed. This is used for combats, traps, and puzzles which award XP.</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Full encounter XP is not given to balance for the fact that the recommended XP awards for monsters do not take into account that players will be awarded XP for anything else.  Additionally, this means that players must engage with the other tiers to advance at a normal rate.</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sectPr>
      <w:pgSz w:h="15840" w:w="12240"/>
      <w:pgMar w:bottom="720" w:top="72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Serif Pro"/>
  <w:font w:name="Marcellus S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erif Pro" w:cs="Source Serif Pro" w:eastAsia="Source Serif Pro" w:hAnsi="Source Serif Pro"/>
        <w:b w:val="0"/>
        <w:i w:val="0"/>
        <w:smallCaps w:val="0"/>
        <w:strike w:val="0"/>
        <w:color w:val="000000"/>
        <w:sz w:val="18"/>
        <w:szCs w:val="18"/>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100" w:lineRule="auto"/>
    </w:pPr>
    <w:rPr>
      <w:rFonts w:ascii="Marcellus SC" w:cs="Marcellus SC" w:eastAsia="Marcellus SC" w:hAnsi="Marcellus SC"/>
      <w:color w:val="38761d"/>
      <w:sz w:val="40"/>
      <w:szCs w:val="40"/>
    </w:rPr>
  </w:style>
  <w:style w:type="paragraph" w:styleId="Heading2">
    <w:name w:val="heading 2"/>
    <w:basedOn w:val="Normal"/>
    <w:next w:val="Normal"/>
    <w:pPr>
      <w:keepNext w:val="1"/>
      <w:keepLines w:val="1"/>
      <w:spacing w:before="100" w:lineRule="auto"/>
    </w:pPr>
    <w:rPr>
      <w:rFonts w:ascii="Marcellus SC" w:cs="Marcellus SC" w:eastAsia="Marcellus SC" w:hAnsi="Marcellus SC"/>
      <w:color w:val="38761d"/>
      <w:sz w:val="32"/>
      <w:szCs w:val="32"/>
    </w:rPr>
  </w:style>
  <w:style w:type="paragraph" w:styleId="Heading3">
    <w:name w:val="heading 3"/>
    <w:basedOn w:val="Normal"/>
    <w:next w:val="Normal"/>
    <w:pPr>
      <w:keepNext w:val="1"/>
      <w:keepLines w:val="1"/>
      <w:spacing w:after="20" w:before="100" w:lineRule="auto"/>
    </w:pPr>
    <w:rPr>
      <w:rFonts w:ascii="Marcellus SC" w:cs="Marcellus SC" w:eastAsia="Marcellus SC" w:hAnsi="Marcellus SC"/>
      <w:color w:val="38761d"/>
      <w:sz w:val="24"/>
      <w:szCs w:val="24"/>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Pr>
    <w:rPr>
      <w:b w:val="1"/>
    </w:rPr>
  </w:style>
  <w:style w:type="paragraph" w:styleId="Heading6">
    <w:name w:val="heading 6"/>
    <w:basedOn w:val="Normal"/>
    <w:next w:val="Normal"/>
    <w:pPr>
      <w:keepNext w:val="1"/>
      <w:keepLines w:val="1"/>
      <w:ind w:left="180"/>
    </w:pPr>
    <w:rPr>
      <w:i w:val="1"/>
    </w:rPr>
  </w:style>
  <w:style w:type="paragraph" w:styleId="Title">
    <w:name w:val="Title"/>
    <w:basedOn w:val="Normal"/>
    <w:next w:val="Normal"/>
    <w:pPr>
      <w:keepNext w:val="1"/>
      <w:keepLines w:val="1"/>
      <w:spacing w:after="140" w:lineRule="auto"/>
    </w:pPr>
    <w:rPr>
      <w:rFonts w:ascii="Marcellus SC" w:cs="Marcellus SC" w:eastAsia="Marcellus SC" w:hAnsi="Marcellus SC"/>
      <w:color w:val="38761d"/>
      <w:sz w:val="48"/>
      <w:szCs w:val="48"/>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