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7EA87" w14:textId="77777777" w:rsidR="006139C6" w:rsidRPr="006139C6" w:rsidRDefault="006139C6" w:rsidP="006139C6">
      <w:pPr>
        <w:ind w:left="360"/>
        <w:rPr>
          <w:b/>
        </w:rPr>
      </w:pPr>
      <w:r w:rsidRPr="006139C6">
        <w:rPr>
          <w:b/>
        </w:rPr>
        <w:t>Headings</w:t>
      </w:r>
    </w:p>
    <w:p w14:paraId="43AE4F2A" w14:textId="7E3DBF6D" w:rsidR="00B44936" w:rsidRPr="006139C6" w:rsidRDefault="00440B7B" w:rsidP="00B44936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440B7B">
        <w:rPr>
          <w:rFonts w:ascii="Calibri" w:hAnsi="Calibri" w:cs="Calibri"/>
          <w:b/>
          <w:color w:val="000000"/>
        </w:rPr>
        <w:t>No More than Four.</w:t>
      </w:r>
      <w:r>
        <w:rPr>
          <w:rFonts w:ascii="Calibri" w:hAnsi="Calibri" w:cs="Calibri"/>
          <w:color w:val="000000"/>
        </w:rPr>
        <w:t xml:space="preserve"> </w:t>
      </w:r>
      <w:r w:rsidR="00B44936">
        <w:rPr>
          <w:rFonts w:ascii="Calibri" w:hAnsi="Calibri" w:cs="Calibri"/>
          <w:color w:val="000000"/>
        </w:rPr>
        <w:t xml:space="preserve">In the outline of your document, </w:t>
      </w:r>
      <w:r>
        <w:rPr>
          <w:rFonts w:ascii="Calibri" w:hAnsi="Calibri" w:cs="Calibri"/>
          <w:color w:val="000000"/>
        </w:rPr>
        <w:t>organize</w:t>
      </w:r>
      <w:r w:rsidR="00B44936">
        <w:rPr>
          <w:rFonts w:ascii="Calibri" w:hAnsi="Calibri" w:cs="Calibri"/>
          <w:color w:val="000000"/>
        </w:rPr>
        <w:t xml:space="preserve"> the information </w:t>
      </w:r>
      <w:r w:rsidR="00BC7C0B">
        <w:rPr>
          <w:rFonts w:ascii="Calibri" w:hAnsi="Calibri" w:cs="Calibri"/>
          <w:color w:val="000000"/>
        </w:rPr>
        <w:t>so that it uses no more than four levels of headings inside each chapter</w:t>
      </w:r>
      <w:r w:rsidR="00B44936" w:rsidRPr="006139C6">
        <w:rPr>
          <w:rFonts w:ascii="Calibri" w:hAnsi="Calibri" w:cs="Calibri"/>
          <w:color w:val="000000"/>
        </w:rPr>
        <w:t>.</w:t>
      </w:r>
      <w:r w:rsidR="00BC7C0B">
        <w:rPr>
          <w:rFonts w:ascii="Calibri" w:hAnsi="Calibri" w:cs="Calibri"/>
          <w:color w:val="000000"/>
        </w:rPr>
        <w:t xml:space="preserve"> </w:t>
      </w:r>
      <w:r w:rsidR="00BC7C0B" w:rsidRPr="006139C6">
        <w:rPr>
          <w:rFonts w:ascii="Calibri" w:hAnsi="Calibri" w:cs="Calibri"/>
          <w:color w:val="000000"/>
        </w:rPr>
        <w:t xml:space="preserve">The headings go in the following order: Chapter Title, </w:t>
      </w:r>
      <w:proofErr w:type="gramStart"/>
      <w:r w:rsidR="00BC7C0B" w:rsidRPr="006139C6">
        <w:rPr>
          <w:rFonts w:ascii="Calibri" w:hAnsi="Calibri" w:cs="Calibri"/>
          <w:color w:val="000000"/>
        </w:rPr>
        <w:t>Heading</w:t>
      </w:r>
      <w:proofErr w:type="gramEnd"/>
      <w:r w:rsidR="00BC7C0B" w:rsidRPr="006139C6">
        <w:rPr>
          <w:rFonts w:ascii="Calibri" w:hAnsi="Calibri" w:cs="Calibri"/>
          <w:color w:val="000000"/>
        </w:rPr>
        <w:t xml:space="preserve"> 1, Heading 2, Heading 3, and then Inline Subhead.</w:t>
      </w:r>
    </w:p>
    <w:p w14:paraId="6E64D661" w14:textId="7D865577" w:rsidR="006139C6" w:rsidRPr="006139C6" w:rsidRDefault="00440B7B" w:rsidP="006139C6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440B7B">
        <w:rPr>
          <w:rFonts w:ascii="Calibri" w:hAnsi="Calibri" w:cs="Calibri"/>
          <w:b/>
          <w:color w:val="000000"/>
        </w:rPr>
        <w:t>Check the Structure.</w:t>
      </w:r>
      <w:r>
        <w:rPr>
          <w:rFonts w:ascii="Calibri" w:hAnsi="Calibri" w:cs="Calibri"/>
          <w:color w:val="000000"/>
        </w:rPr>
        <w:t xml:space="preserve"> </w:t>
      </w:r>
      <w:r w:rsidR="00BC7C0B">
        <w:rPr>
          <w:rFonts w:ascii="Calibri" w:hAnsi="Calibri" w:cs="Calibri"/>
          <w:color w:val="000000"/>
        </w:rPr>
        <w:t>After composing all the text</w:t>
      </w:r>
      <w:r>
        <w:rPr>
          <w:rFonts w:ascii="Calibri" w:hAnsi="Calibri" w:cs="Calibri"/>
          <w:color w:val="000000"/>
        </w:rPr>
        <w:t xml:space="preserve"> and adjusting headings if necessary</w:t>
      </w:r>
      <w:r w:rsidR="00BC7C0B">
        <w:rPr>
          <w:rFonts w:ascii="Calibri" w:hAnsi="Calibri" w:cs="Calibri"/>
          <w:color w:val="000000"/>
        </w:rPr>
        <w:t>, v</w:t>
      </w:r>
      <w:r w:rsidR="006139C6" w:rsidRPr="006139C6">
        <w:rPr>
          <w:rFonts w:ascii="Calibri" w:hAnsi="Calibri" w:cs="Calibri"/>
          <w:color w:val="000000"/>
        </w:rPr>
        <w:t>erify that</w:t>
      </w:r>
      <w:r w:rsidR="00BC7C0B">
        <w:rPr>
          <w:rFonts w:ascii="Calibri" w:hAnsi="Calibri" w:cs="Calibri"/>
          <w:color w:val="000000"/>
        </w:rPr>
        <w:t xml:space="preserve"> the</w:t>
      </w:r>
      <w:r w:rsidR="006139C6" w:rsidRPr="006139C6">
        <w:rPr>
          <w:rFonts w:ascii="Calibri" w:hAnsi="Calibri" w:cs="Calibri"/>
          <w:color w:val="000000"/>
        </w:rPr>
        <w:t xml:space="preserve"> headings </w:t>
      </w:r>
      <w:r>
        <w:rPr>
          <w:rFonts w:ascii="Calibri" w:hAnsi="Calibri" w:cs="Calibri"/>
          <w:color w:val="000000"/>
        </w:rPr>
        <w:t>for subtopics are subordinate to the headings for the broader topics they pertain to</w:t>
      </w:r>
      <w:r w:rsidR="006139C6" w:rsidRPr="006139C6">
        <w:rPr>
          <w:rFonts w:ascii="Calibri" w:hAnsi="Calibri" w:cs="Calibri"/>
          <w:color w:val="000000"/>
        </w:rPr>
        <w:t xml:space="preserve">. </w:t>
      </w:r>
    </w:p>
    <w:p w14:paraId="2D812892" w14:textId="7A30D3F8" w:rsidR="006139C6" w:rsidRPr="006139C6" w:rsidRDefault="00440B7B" w:rsidP="006139C6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440B7B">
        <w:rPr>
          <w:rFonts w:ascii="Calibri" w:hAnsi="Calibri" w:cs="Calibri"/>
          <w:b/>
          <w:color w:val="000000"/>
        </w:rPr>
        <w:t>Spells Are Special.</w:t>
      </w:r>
      <w:r>
        <w:rPr>
          <w:rFonts w:ascii="Calibri" w:hAnsi="Calibri" w:cs="Calibri"/>
          <w:color w:val="000000"/>
        </w:rPr>
        <w:t xml:space="preserve"> </w:t>
      </w:r>
      <w:r w:rsidR="006139C6" w:rsidRPr="006139C6">
        <w:rPr>
          <w:rFonts w:ascii="Calibri" w:hAnsi="Calibri" w:cs="Calibri"/>
          <w:color w:val="000000"/>
        </w:rPr>
        <w:t>Ensure that a spell’s title uses Heading 3, even if the previous heading is not a Heading 2, and structure the text so that spells aren’t nested under a Heading 3.</w:t>
      </w:r>
    </w:p>
    <w:p w14:paraId="4EFE4114" w14:textId="7C8B6348" w:rsidR="006139C6" w:rsidRPr="006139C6" w:rsidRDefault="00440B7B" w:rsidP="006139C6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440B7B">
        <w:rPr>
          <w:rFonts w:ascii="Calibri" w:hAnsi="Calibri" w:cs="Calibri"/>
          <w:b/>
          <w:color w:val="000000"/>
        </w:rPr>
        <w:t>No Subheads in Text.</w:t>
      </w:r>
      <w:r>
        <w:rPr>
          <w:rFonts w:ascii="Calibri" w:hAnsi="Calibri" w:cs="Calibri"/>
          <w:color w:val="000000"/>
        </w:rPr>
        <w:t xml:space="preserve"> </w:t>
      </w:r>
      <w:r w:rsidR="006139C6" w:rsidRPr="006139C6">
        <w:rPr>
          <w:rFonts w:ascii="Calibri" w:hAnsi="Calibri" w:cs="Calibri"/>
          <w:color w:val="000000"/>
        </w:rPr>
        <w:t>Make sure that Inline Subhead isn’t used simply to emphasize text or to start a list item. Use bold in those situations.</w:t>
      </w:r>
    </w:p>
    <w:p w14:paraId="58669B6B" w14:textId="77777777" w:rsidR="00786180" w:rsidRDefault="00786180" w:rsidP="00786180">
      <w:pPr>
        <w:ind w:left="360"/>
        <w:rPr>
          <w:b/>
        </w:rPr>
      </w:pPr>
    </w:p>
    <w:p w14:paraId="4F8C3BF3" w14:textId="0F31B859" w:rsidR="00786180" w:rsidRPr="006139C6" w:rsidRDefault="00786180" w:rsidP="00786180">
      <w:pPr>
        <w:ind w:left="360"/>
        <w:rPr>
          <w:b/>
        </w:rPr>
      </w:pPr>
      <w:r>
        <w:rPr>
          <w:b/>
        </w:rPr>
        <w:t>Special Elements</w:t>
      </w:r>
    </w:p>
    <w:p w14:paraId="51E4B510" w14:textId="65E089A7" w:rsidR="00786180" w:rsidRPr="006139C6" w:rsidRDefault="001C0DC9" w:rsidP="00786180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1C0DC9">
        <w:rPr>
          <w:rFonts w:ascii="Calibri" w:hAnsi="Calibri" w:cs="Calibri"/>
          <w:b/>
          <w:color w:val="000000"/>
        </w:rPr>
        <w:t>Sidebars.</w:t>
      </w:r>
      <w:r>
        <w:rPr>
          <w:rFonts w:ascii="Calibri" w:hAnsi="Calibri" w:cs="Calibri"/>
          <w:color w:val="000000"/>
        </w:rPr>
        <w:t xml:space="preserve"> </w:t>
      </w:r>
      <w:r w:rsidR="00786180">
        <w:rPr>
          <w:rFonts w:ascii="Calibri" w:hAnsi="Calibri" w:cs="Calibri"/>
          <w:color w:val="000000"/>
        </w:rPr>
        <w:t>If your document uses sidebars, verify that each one is located near the text it’s associated with and that no two sidebars are too close together.</w:t>
      </w:r>
    </w:p>
    <w:p w14:paraId="4E031435" w14:textId="4C26ABCC" w:rsidR="00786180" w:rsidRPr="006139C6" w:rsidRDefault="001C0DC9" w:rsidP="00786180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1C0DC9">
        <w:rPr>
          <w:rFonts w:ascii="Calibri" w:hAnsi="Calibri" w:cs="Calibri"/>
          <w:b/>
          <w:color w:val="000000"/>
        </w:rPr>
        <w:t>Vertical Lists.</w:t>
      </w:r>
      <w:r>
        <w:rPr>
          <w:rFonts w:ascii="Calibri" w:hAnsi="Calibri" w:cs="Calibri"/>
          <w:color w:val="000000"/>
        </w:rPr>
        <w:t xml:space="preserve"> </w:t>
      </w:r>
      <w:r w:rsidR="00786180">
        <w:rPr>
          <w:rFonts w:ascii="Calibri" w:hAnsi="Calibri" w:cs="Calibri"/>
          <w:color w:val="000000"/>
        </w:rPr>
        <w:t>Check each vertical list in the manuscript to be sure that it’s properly introduced and that each list element begins with a capital letter</w:t>
      </w:r>
      <w:r w:rsidR="00786180" w:rsidRPr="006139C6">
        <w:rPr>
          <w:rFonts w:ascii="Calibri" w:hAnsi="Calibri" w:cs="Calibri"/>
          <w:color w:val="000000"/>
        </w:rPr>
        <w:t>.</w:t>
      </w:r>
    </w:p>
    <w:p w14:paraId="672B1695" w14:textId="4036DF22" w:rsidR="00786180" w:rsidRPr="006139C6" w:rsidRDefault="001C0DC9" w:rsidP="00786180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1C0DC9">
        <w:rPr>
          <w:rFonts w:ascii="Calibri" w:hAnsi="Calibri" w:cs="Calibri"/>
          <w:b/>
          <w:color w:val="000000"/>
        </w:rPr>
        <w:t>Cross-references.</w:t>
      </w:r>
      <w:r>
        <w:rPr>
          <w:rFonts w:ascii="Calibri" w:hAnsi="Calibri" w:cs="Calibri"/>
          <w:color w:val="000000"/>
        </w:rPr>
        <w:t xml:space="preserve"> </w:t>
      </w:r>
      <w:r w:rsidR="00786180">
        <w:rPr>
          <w:rFonts w:ascii="Calibri" w:hAnsi="Calibri" w:cs="Calibri"/>
          <w:color w:val="000000"/>
        </w:rPr>
        <w:t>Verify that all cross-references are correct and as specific as they need to be, and that they comply with our capitalization and punctuation style</w:t>
      </w:r>
      <w:r w:rsidR="00786180" w:rsidRPr="006139C6">
        <w:rPr>
          <w:rFonts w:ascii="Calibri" w:hAnsi="Calibri" w:cs="Calibri"/>
          <w:color w:val="000000"/>
        </w:rPr>
        <w:t>.</w:t>
      </w:r>
      <w:r w:rsidR="00251B82">
        <w:rPr>
          <w:rFonts w:ascii="Calibri" w:hAnsi="Calibri" w:cs="Calibri"/>
          <w:color w:val="000000"/>
        </w:rPr>
        <w:t xml:space="preserve"> Every cross-reference must point to a chapter, an appendix, a sidebar, a section, or a table.</w:t>
      </w:r>
    </w:p>
    <w:p w14:paraId="2089547F" w14:textId="7F41D685" w:rsidR="009156A5" w:rsidRDefault="007441D2"/>
    <w:p w14:paraId="5195A785" w14:textId="4867A864" w:rsidR="00894371" w:rsidRPr="006139C6" w:rsidRDefault="00894371" w:rsidP="00894371">
      <w:pPr>
        <w:ind w:left="360"/>
        <w:rPr>
          <w:b/>
        </w:rPr>
      </w:pPr>
      <w:r>
        <w:rPr>
          <w:b/>
        </w:rPr>
        <w:t>Gender</w:t>
      </w:r>
    </w:p>
    <w:p w14:paraId="75488463" w14:textId="3D388FCD" w:rsidR="00894371" w:rsidRPr="006139C6" w:rsidRDefault="001C0DC9" w:rsidP="00894371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1C0DC9">
        <w:rPr>
          <w:rFonts w:ascii="Calibri" w:hAnsi="Calibri" w:cs="Calibri"/>
          <w:b/>
          <w:color w:val="000000"/>
        </w:rPr>
        <w:t>Neutrality.</w:t>
      </w:r>
      <w:r>
        <w:rPr>
          <w:rFonts w:ascii="Calibri" w:hAnsi="Calibri" w:cs="Calibri"/>
          <w:color w:val="000000"/>
        </w:rPr>
        <w:t xml:space="preserve"> </w:t>
      </w:r>
      <w:r w:rsidR="00894371">
        <w:rPr>
          <w:rFonts w:ascii="Calibri" w:hAnsi="Calibri" w:cs="Calibri"/>
          <w:color w:val="000000"/>
        </w:rPr>
        <w:t>Examine your manuscript for uses of “he or she,” “his or hers,” and “him or her</w:t>
      </w:r>
      <w:r w:rsidR="00894371" w:rsidRPr="006139C6">
        <w:rPr>
          <w:rFonts w:ascii="Calibri" w:hAnsi="Calibri" w:cs="Calibri"/>
          <w:color w:val="000000"/>
        </w:rPr>
        <w:t>.</w:t>
      </w:r>
      <w:r w:rsidR="00894371">
        <w:rPr>
          <w:rFonts w:ascii="Calibri" w:hAnsi="Calibri" w:cs="Calibri"/>
          <w:color w:val="000000"/>
        </w:rPr>
        <w:t>” Replace them with language that is not gender-specific. If necessary, use a plural pronoun such as “they” or “</w:t>
      </w:r>
      <w:proofErr w:type="spellStart"/>
      <w:proofErr w:type="gramStart"/>
      <w:r w:rsidR="00894371">
        <w:rPr>
          <w:rFonts w:ascii="Calibri" w:hAnsi="Calibri" w:cs="Calibri"/>
          <w:color w:val="000000"/>
        </w:rPr>
        <w:t>their</w:t>
      </w:r>
      <w:proofErr w:type="spellEnd"/>
      <w:proofErr w:type="gramEnd"/>
      <w:r w:rsidR="00894371">
        <w:rPr>
          <w:rFonts w:ascii="Calibri" w:hAnsi="Calibri" w:cs="Calibri"/>
          <w:color w:val="000000"/>
        </w:rPr>
        <w:t>.”</w:t>
      </w:r>
      <w:r>
        <w:rPr>
          <w:rFonts w:ascii="Calibri" w:hAnsi="Calibri" w:cs="Calibri"/>
          <w:color w:val="000000"/>
        </w:rPr>
        <w:t xml:space="preserve"> See </w:t>
      </w:r>
      <w:r w:rsidRPr="001C0DC9">
        <w:rPr>
          <w:rFonts w:ascii="Calibri" w:hAnsi="Calibri" w:cs="Calibri"/>
          <w:i/>
          <w:color w:val="000000"/>
        </w:rPr>
        <w:t>CMS</w:t>
      </w:r>
      <w:r>
        <w:rPr>
          <w:rFonts w:ascii="Calibri" w:hAnsi="Calibri" w:cs="Calibri"/>
          <w:color w:val="000000"/>
        </w:rPr>
        <w:t xml:space="preserve"> 5.255 for an extensive discussion of alternatives.</w:t>
      </w:r>
    </w:p>
    <w:p w14:paraId="7A0BB974" w14:textId="66B46022" w:rsidR="00894371" w:rsidRPr="006139C6" w:rsidRDefault="001C0DC9" w:rsidP="00894371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1C0DC9">
        <w:rPr>
          <w:rFonts w:ascii="Calibri" w:hAnsi="Calibri" w:cs="Calibri"/>
          <w:b/>
          <w:color w:val="000000"/>
        </w:rPr>
        <w:t>Humans Only.</w:t>
      </w:r>
      <w:r>
        <w:rPr>
          <w:rFonts w:ascii="Calibri" w:hAnsi="Calibri" w:cs="Calibri"/>
          <w:color w:val="000000"/>
        </w:rPr>
        <w:t xml:space="preserve"> </w:t>
      </w:r>
      <w:r w:rsidR="00D06573">
        <w:rPr>
          <w:rFonts w:ascii="Calibri" w:hAnsi="Calibri" w:cs="Calibri"/>
          <w:color w:val="000000"/>
        </w:rPr>
        <w:t>Check to be sure</w:t>
      </w:r>
      <w:r w:rsidR="00894371" w:rsidRPr="006139C6">
        <w:rPr>
          <w:rFonts w:ascii="Calibri" w:hAnsi="Calibri" w:cs="Calibri"/>
          <w:color w:val="000000"/>
        </w:rPr>
        <w:t xml:space="preserve"> that </w:t>
      </w:r>
      <w:r w:rsidR="00D06573">
        <w:rPr>
          <w:rFonts w:ascii="Calibri" w:hAnsi="Calibri" w:cs="Calibri"/>
          <w:color w:val="000000"/>
        </w:rPr>
        <w:t xml:space="preserve">all forms of “man” and “woman” are used only to </w:t>
      </w:r>
      <w:r w:rsidR="00C5341F">
        <w:rPr>
          <w:rFonts w:ascii="Calibri" w:hAnsi="Calibri" w:cs="Calibri"/>
          <w:color w:val="000000"/>
        </w:rPr>
        <w:t>identify</w:t>
      </w:r>
      <w:r w:rsidR="00D06573">
        <w:rPr>
          <w:rFonts w:ascii="Calibri" w:hAnsi="Calibri" w:cs="Calibri"/>
          <w:color w:val="000000"/>
        </w:rPr>
        <w:t xml:space="preserve"> human characters</w:t>
      </w:r>
      <w:r w:rsidR="00894371" w:rsidRPr="006139C6">
        <w:rPr>
          <w:rFonts w:ascii="Calibri" w:hAnsi="Calibri" w:cs="Calibri"/>
          <w:color w:val="000000"/>
        </w:rPr>
        <w:t>.</w:t>
      </w:r>
    </w:p>
    <w:p w14:paraId="2ED6A222" w14:textId="71065023" w:rsidR="00894371" w:rsidRPr="006139C6" w:rsidRDefault="001C0DC9" w:rsidP="00894371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1C0DC9">
        <w:rPr>
          <w:rFonts w:ascii="Calibri" w:hAnsi="Calibri" w:cs="Calibri"/>
          <w:b/>
          <w:color w:val="000000"/>
        </w:rPr>
        <w:t>Feminine Nouns.</w:t>
      </w:r>
      <w:r>
        <w:rPr>
          <w:rFonts w:ascii="Calibri" w:hAnsi="Calibri" w:cs="Calibri"/>
          <w:color w:val="000000"/>
        </w:rPr>
        <w:t xml:space="preserve"> </w:t>
      </w:r>
      <w:r w:rsidR="000775D9">
        <w:rPr>
          <w:rFonts w:ascii="Calibri" w:hAnsi="Calibri" w:cs="Calibri"/>
          <w:color w:val="000000"/>
        </w:rPr>
        <w:t>Verify that feminine forms of nouns, such as “actress” and “goddess,” do not appear in the narrative (though such terms are permitted in dialogue and other in-world references)</w:t>
      </w:r>
      <w:r w:rsidR="00894371" w:rsidRPr="006139C6">
        <w:rPr>
          <w:rFonts w:ascii="Calibri" w:hAnsi="Calibri" w:cs="Calibri"/>
          <w:color w:val="000000"/>
        </w:rPr>
        <w:t>.</w:t>
      </w:r>
    </w:p>
    <w:p w14:paraId="7B16CA17" w14:textId="77777777" w:rsidR="00894371" w:rsidRDefault="00894371" w:rsidP="00894371"/>
    <w:p w14:paraId="3533BC9E" w14:textId="1950FCBF" w:rsidR="000775D9" w:rsidRPr="006139C6" w:rsidRDefault="000775D9" w:rsidP="000775D9">
      <w:pPr>
        <w:ind w:left="360"/>
        <w:rPr>
          <w:b/>
        </w:rPr>
      </w:pPr>
      <w:r>
        <w:rPr>
          <w:b/>
        </w:rPr>
        <w:t>Punctuation</w:t>
      </w:r>
    </w:p>
    <w:p w14:paraId="50866448" w14:textId="374A76F1" w:rsidR="005446A7" w:rsidRPr="006139C6" w:rsidRDefault="009C6A15" w:rsidP="005446A7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4E4841">
        <w:rPr>
          <w:rFonts w:ascii="Calibri" w:hAnsi="Calibri" w:cs="Calibri"/>
          <w:b/>
          <w:color w:val="000000"/>
        </w:rPr>
        <w:t>Inline Subheads.</w:t>
      </w:r>
      <w:r>
        <w:rPr>
          <w:rFonts w:ascii="Calibri" w:hAnsi="Calibri" w:cs="Calibri"/>
          <w:color w:val="000000"/>
        </w:rPr>
        <w:t xml:space="preserve"> </w:t>
      </w:r>
      <w:r w:rsidR="005446A7">
        <w:rPr>
          <w:rFonts w:ascii="Calibri" w:hAnsi="Calibri" w:cs="Calibri"/>
          <w:color w:val="000000"/>
        </w:rPr>
        <w:t>Check all the inline subheads in your document to be sure that the terminal punctuation uses the same typography (bold italic) as the text of the heading</w:t>
      </w:r>
      <w:r w:rsidR="005446A7" w:rsidRPr="006139C6">
        <w:rPr>
          <w:rFonts w:ascii="Calibri" w:hAnsi="Calibri" w:cs="Calibri"/>
          <w:color w:val="000000"/>
        </w:rPr>
        <w:t>.</w:t>
      </w:r>
    </w:p>
    <w:p w14:paraId="1CD7B964" w14:textId="3EC1C9ED" w:rsidR="000775D9" w:rsidRPr="006139C6" w:rsidRDefault="004E4841" w:rsidP="000775D9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4E4841">
        <w:rPr>
          <w:rFonts w:ascii="Calibri" w:hAnsi="Calibri" w:cs="Calibri"/>
          <w:b/>
          <w:color w:val="000000"/>
        </w:rPr>
        <w:t>No Bold or Italic.</w:t>
      </w:r>
      <w:r>
        <w:rPr>
          <w:rFonts w:ascii="Calibri" w:hAnsi="Calibri" w:cs="Calibri"/>
          <w:color w:val="000000"/>
        </w:rPr>
        <w:t xml:space="preserve"> </w:t>
      </w:r>
      <w:r w:rsidR="000775D9">
        <w:rPr>
          <w:rFonts w:ascii="Calibri" w:hAnsi="Calibri" w:cs="Calibri"/>
          <w:color w:val="000000"/>
        </w:rPr>
        <w:t xml:space="preserve">In places where a word or a phrase is set in bold or italic inside a sentence, </w:t>
      </w:r>
      <w:r w:rsidR="005446A7">
        <w:rPr>
          <w:rFonts w:ascii="Calibri" w:hAnsi="Calibri" w:cs="Calibri"/>
          <w:color w:val="000000"/>
        </w:rPr>
        <w:t xml:space="preserve">and the text is not an inline subhead, </w:t>
      </w:r>
      <w:r w:rsidR="000775D9">
        <w:rPr>
          <w:rFonts w:ascii="Calibri" w:hAnsi="Calibri" w:cs="Calibri"/>
          <w:color w:val="000000"/>
        </w:rPr>
        <w:t>be sure that any trailing punctuation does not also appear in bold or italic</w:t>
      </w:r>
      <w:r w:rsidR="00F53963">
        <w:rPr>
          <w:rFonts w:ascii="Calibri" w:hAnsi="Calibri" w:cs="Calibri"/>
          <w:color w:val="000000"/>
        </w:rPr>
        <w:t>.</w:t>
      </w:r>
    </w:p>
    <w:p w14:paraId="1AEFE974" w14:textId="45DADF98" w:rsidR="000775D9" w:rsidRPr="006139C6" w:rsidRDefault="004E4841" w:rsidP="000775D9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4E4841">
        <w:rPr>
          <w:rFonts w:ascii="Calibri" w:hAnsi="Calibri" w:cs="Calibri"/>
          <w:b/>
          <w:color w:val="000000"/>
        </w:rPr>
        <w:t>Serial Comma.</w:t>
      </w:r>
      <w:r>
        <w:rPr>
          <w:rFonts w:ascii="Calibri" w:hAnsi="Calibri" w:cs="Calibri"/>
          <w:color w:val="000000"/>
        </w:rPr>
        <w:t xml:space="preserve"> </w:t>
      </w:r>
      <w:r w:rsidR="00F53963">
        <w:rPr>
          <w:rFonts w:ascii="Calibri" w:hAnsi="Calibri" w:cs="Calibri"/>
          <w:color w:val="000000"/>
        </w:rPr>
        <w:t>When the narrative lists three or more elements separated by commas and the word “and” or “or,” the second-to-last item must be followed by a comma (the serial comma)</w:t>
      </w:r>
      <w:r w:rsidR="000775D9" w:rsidRPr="006139C6">
        <w:rPr>
          <w:rFonts w:ascii="Calibri" w:hAnsi="Calibri" w:cs="Calibri"/>
          <w:color w:val="000000"/>
        </w:rPr>
        <w:t>.</w:t>
      </w:r>
    </w:p>
    <w:p w14:paraId="605233B5" w14:textId="77777777" w:rsidR="005446A7" w:rsidRDefault="005446A7" w:rsidP="005446A7"/>
    <w:p w14:paraId="0868CABA" w14:textId="4C4917E3" w:rsidR="00F72193" w:rsidRPr="006139C6" w:rsidRDefault="00F72193" w:rsidP="00F72193">
      <w:pPr>
        <w:ind w:left="360"/>
        <w:rPr>
          <w:b/>
        </w:rPr>
      </w:pPr>
      <w:r>
        <w:rPr>
          <w:b/>
        </w:rPr>
        <w:lastRenderedPageBreak/>
        <w:t>Word Usage</w:t>
      </w:r>
    </w:p>
    <w:p w14:paraId="3735FE57" w14:textId="7B4F20BA" w:rsidR="00F72193" w:rsidRPr="006139C6" w:rsidRDefault="008C7882" w:rsidP="00F7219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8C7882">
        <w:rPr>
          <w:rFonts w:ascii="Calibri" w:hAnsi="Calibri" w:cs="Calibri"/>
          <w:b/>
          <w:color w:val="000000"/>
        </w:rPr>
        <w:t xml:space="preserve">Drop the </w:t>
      </w:r>
      <w:r w:rsidRPr="008C7882">
        <w:rPr>
          <w:rFonts w:ascii="Calibri" w:hAnsi="Calibri" w:cs="Calibri"/>
          <w:b/>
          <w:i/>
          <w:color w:val="000000"/>
        </w:rPr>
        <w:t>s</w:t>
      </w:r>
      <w:r w:rsidRPr="008C7882">
        <w:rPr>
          <w:rFonts w:ascii="Calibri" w:hAnsi="Calibri" w:cs="Calibri"/>
          <w:b/>
          <w:color w:val="000000"/>
        </w:rPr>
        <w:t>.</w:t>
      </w:r>
      <w:r>
        <w:rPr>
          <w:rFonts w:ascii="Calibri" w:hAnsi="Calibri" w:cs="Calibri"/>
          <w:color w:val="000000"/>
        </w:rPr>
        <w:t xml:space="preserve"> </w:t>
      </w:r>
      <w:r w:rsidR="00797D5E">
        <w:rPr>
          <w:rFonts w:ascii="Calibri" w:hAnsi="Calibri" w:cs="Calibri"/>
          <w:color w:val="000000"/>
        </w:rPr>
        <w:t>Don’t let “towards,” “backwards,” and similar words creep into your narration; use “toward” and so forth</w:t>
      </w:r>
      <w:r w:rsidR="00F72193" w:rsidRPr="006139C6">
        <w:rPr>
          <w:rFonts w:ascii="Calibri" w:hAnsi="Calibri" w:cs="Calibri"/>
          <w:color w:val="000000"/>
        </w:rPr>
        <w:t>.</w:t>
      </w:r>
    </w:p>
    <w:p w14:paraId="2D6B0EFF" w14:textId="278B2E1F" w:rsidR="00F72193" w:rsidRDefault="008C7882" w:rsidP="00F7219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8C7882">
        <w:rPr>
          <w:rFonts w:ascii="Calibri" w:hAnsi="Calibri" w:cs="Calibri"/>
          <w:b/>
          <w:color w:val="000000"/>
        </w:rPr>
        <w:t>Contractions.</w:t>
      </w:r>
      <w:r>
        <w:rPr>
          <w:rFonts w:ascii="Calibri" w:hAnsi="Calibri" w:cs="Calibri"/>
          <w:color w:val="000000"/>
        </w:rPr>
        <w:t xml:space="preserve"> </w:t>
      </w:r>
      <w:r w:rsidR="00797D5E">
        <w:rPr>
          <w:rFonts w:ascii="Calibri" w:hAnsi="Calibri" w:cs="Calibri"/>
          <w:color w:val="000000"/>
        </w:rPr>
        <w:t xml:space="preserve">Limit or avoid the use of contractions that end in </w:t>
      </w:r>
      <w:r w:rsidR="00797D5E" w:rsidRPr="00797D5E">
        <w:rPr>
          <w:rFonts w:ascii="Calibri" w:hAnsi="Calibri" w:cs="Calibri"/>
          <w:i/>
          <w:color w:val="000000"/>
        </w:rPr>
        <w:t>s</w:t>
      </w:r>
      <w:r w:rsidR="00797D5E">
        <w:rPr>
          <w:rFonts w:ascii="Calibri" w:hAnsi="Calibri" w:cs="Calibri"/>
          <w:color w:val="000000"/>
        </w:rPr>
        <w:t>, such as “who’s” and “he’s,” because the meaning is not always immediately clear</w:t>
      </w:r>
      <w:r w:rsidR="00F72193">
        <w:rPr>
          <w:rFonts w:ascii="Calibri" w:hAnsi="Calibri" w:cs="Calibri"/>
          <w:color w:val="000000"/>
        </w:rPr>
        <w:t>.</w:t>
      </w:r>
    </w:p>
    <w:p w14:paraId="21751FAC" w14:textId="56E73024" w:rsidR="00FB7A30" w:rsidRDefault="00FB7A30" w:rsidP="00F7219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Half.</w:t>
      </w:r>
      <w:r>
        <w:rPr>
          <w:rFonts w:ascii="Calibri" w:hAnsi="Calibri" w:cs="Calibri"/>
          <w:color w:val="000000"/>
        </w:rPr>
        <w:t xml:space="preserve"> Make sure that “one-half” does not appear in your work unless you’re referring specifically to the fraction. In other cases, “half” is sufficient.</w:t>
      </w:r>
    </w:p>
    <w:p w14:paraId="33873DFB" w14:textId="77777777" w:rsidR="00F72193" w:rsidRDefault="00F72193" w:rsidP="00F72193"/>
    <w:p w14:paraId="4C968636" w14:textId="227BEC38" w:rsidR="005446A7" w:rsidRPr="006139C6" w:rsidRDefault="001B5BD9" w:rsidP="005446A7">
      <w:pPr>
        <w:ind w:left="360"/>
        <w:rPr>
          <w:b/>
        </w:rPr>
      </w:pPr>
      <w:proofErr w:type="spellStart"/>
      <w:r>
        <w:rPr>
          <w:b/>
        </w:rPr>
        <w:t>D&amp;Details</w:t>
      </w:r>
      <w:proofErr w:type="spellEnd"/>
    </w:p>
    <w:p w14:paraId="45A7AF31" w14:textId="0BEC08F5" w:rsidR="005446A7" w:rsidRPr="00C31F59" w:rsidRDefault="001B5BD9" w:rsidP="00C31F59">
      <w:pPr>
        <w:ind w:left="360"/>
        <w:rPr>
          <w:rFonts w:ascii="Calibri" w:hAnsi="Calibri" w:cs="Calibri"/>
          <w:color w:val="000000"/>
        </w:rPr>
      </w:pPr>
      <w:r w:rsidRPr="00C31F59">
        <w:rPr>
          <w:rFonts w:ascii="Calibri" w:hAnsi="Calibri" w:cs="Calibri"/>
          <w:color w:val="000000"/>
        </w:rPr>
        <w:t>Special requirements apply to the language of the D&amp;D game</w:t>
      </w:r>
      <w:r w:rsidR="005446A7" w:rsidRPr="00C31F59">
        <w:rPr>
          <w:rFonts w:ascii="Calibri" w:hAnsi="Calibri" w:cs="Calibri"/>
          <w:color w:val="000000"/>
        </w:rPr>
        <w:t>.</w:t>
      </w:r>
      <w:r w:rsidRPr="00C31F59">
        <w:rPr>
          <w:rFonts w:ascii="Calibri" w:hAnsi="Calibri" w:cs="Calibri"/>
          <w:color w:val="000000"/>
        </w:rPr>
        <w:t xml:space="preserve"> To learn how we do things, it’s essential </w:t>
      </w:r>
      <w:r w:rsidR="00C31F59" w:rsidRPr="00C31F59">
        <w:rPr>
          <w:rFonts w:ascii="Calibri" w:hAnsi="Calibri" w:cs="Calibri"/>
          <w:color w:val="000000"/>
        </w:rPr>
        <w:t xml:space="preserve">for any writer or editor </w:t>
      </w:r>
      <w:r w:rsidRPr="00C31F59">
        <w:rPr>
          <w:rFonts w:ascii="Calibri" w:hAnsi="Calibri" w:cs="Calibri"/>
          <w:color w:val="000000"/>
        </w:rPr>
        <w:t xml:space="preserve">to be familiar with </w:t>
      </w:r>
      <w:r w:rsidR="00347E55">
        <w:rPr>
          <w:rFonts w:ascii="Calibri" w:hAnsi="Calibri" w:cs="Calibri"/>
          <w:color w:val="000000"/>
        </w:rPr>
        <w:t xml:space="preserve">how </w:t>
      </w:r>
      <w:r w:rsidRPr="00C31F59">
        <w:rPr>
          <w:rFonts w:ascii="Calibri" w:hAnsi="Calibri" w:cs="Calibri"/>
          <w:color w:val="000000"/>
        </w:rPr>
        <w:t>the rules</w:t>
      </w:r>
      <w:r w:rsidR="00C31F59" w:rsidRPr="00C31F59">
        <w:rPr>
          <w:rFonts w:ascii="Calibri" w:hAnsi="Calibri" w:cs="Calibri"/>
          <w:color w:val="000000"/>
        </w:rPr>
        <w:t xml:space="preserve"> in the </w:t>
      </w:r>
      <w:r w:rsidR="00C31F59" w:rsidRPr="00C31F59">
        <w:rPr>
          <w:rFonts w:ascii="Calibri" w:hAnsi="Calibri" w:cs="Calibri"/>
          <w:i/>
          <w:color w:val="000000"/>
        </w:rPr>
        <w:t>Player’s Handbook</w:t>
      </w:r>
      <w:r w:rsidR="00C31F59" w:rsidRPr="00C31F59">
        <w:rPr>
          <w:rFonts w:ascii="Calibri" w:hAnsi="Calibri" w:cs="Calibri"/>
          <w:color w:val="000000"/>
        </w:rPr>
        <w:t xml:space="preserve">, </w:t>
      </w:r>
      <w:r w:rsidR="00C31F59" w:rsidRPr="00C31F59">
        <w:rPr>
          <w:rFonts w:ascii="Calibri" w:hAnsi="Calibri" w:cs="Calibri"/>
          <w:i/>
          <w:color w:val="000000"/>
        </w:rPr>
        <w:t>Dungeon Master’s Guide</w:t>
      </w:r>
      <w:r w:rsidR="00C31F59" w:rsidRPr="00C31F59">
        <w:rPr>
          <w:rFonts w:ascii="Calibri" w:hAnsi="Calibri" w:cs="Calibri"/>
          <w:color w:val="000000"/>
        </w:rPr>
        <w:t xml:space="preserve">, and </w:t>
      </w:r>
      <w:r w:rsidR="00C31F59" w:rsidRPr="00C31F59">
        <w:rPr>
          <w:rFonts w:ascii="Calibri" w:hAnsi="Calibri" w:cs="Calibri"/>
          <w:i/>
          <w:color w:val="000000"/>
        </w:rPr>
        <w:t>Monster Manual</w:t>
      </w:r>
      <w:r w:rsidR="00C31F59">
        <w:rPr>
          <w:rFonts w:ascii="Calibri" w:hAnsi="Calibri" w:cs="Calibri"/>
          <w:color w:val="000000"/>
        </w:rPr>
        <w:t xml:space="preserve"> </w:t>
      </w:r>
      <w:r w:rsidR="00347E55">
        <w:rPr>
          <w:rFonts w:ascii="Calibri" w:hAnsi="Calibri" w:cs="Calibri"/>
          <w:color w:val="000000"/>
        </w:rPr>
        <w:t>are phrased. Some</w:t>
      </w:r>
      <w:r w:rsidR="00C31F59">
        <w:rPr>
          <w:rFonts w:ascii="Calibri" w:hAnsi="Calibri" w:cs="Calibri"/>
          <w:color w:val="000000"/>
        </w:rPr>
        <w:t xml:space="preserve"> of the nuances that often get overlooked are summarized here.</w:t>
      </w:r>
    </w:p>
    <w:p w14:paraId="4CF8C204" w14:textId="26B42A1A" w:rsidR="005446A7" w:rsidRPr="006139C6" w:rsidRDefault="004E4841" w:rsidP="005446A7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4E4841">
        <w:rPr>
          <w:rFonts w:ascii="Calibri" w:hAnsi="Calibri" w:cs="Calibri"/>
          <w:b/>
          <w:color w:val="000000"/>
        </w:rPr>
        <w:t>Class Features.</w:t>
      </w:r>
      <w:r>
        <w:rPr>
          <w:rFonts w:ascii="Calibri" w:hAnsi="Calibri" w:cs="Calibri"/>
          <w:color w:val="000000"/>
        </w:rPr>
        <w:t xml:space="preserve"> </w:t>
      </w:r>
      <w:r w:rsidR="00C31F59">
        <w:rPr>
          <w:rFonts w:ascii="Calibri" w:hAnsi="Calibri" w:cs="Calibri"/>
          <w:color w:val="000000"/>
        </w:rPr>
        <w:t xml:space="preserve">Capitalize a noun or a noun phrase </w:t>
      </w:r>
      <w:r w:rsidR="00DA0A26">
        <w:rPr>
          <w:rFonts w:ascii="Calibri" w:hAnsi="Calibri" w:cs="Calibri"/>
          <w:color w:val="000000"/>
        </w:rPr>
        <w:t>when it</w:t>
      </w:r>
      <w:r w:rsidR="00C31F59">
        <w:rPr>
          <w:rFonts w:ascii="Calibri" w:hAnsi="Calibri" w:cs="Calibri"/>
          <w:color w:val="000000"/>
        </w:rPr>
        <w:t xml:space="preserve"> is used as the name of a class feature</w:t>
      </w:r>
      <w:r w:rsidR="005446A7">
        <w:rPr>
          <w:rFonts w:ascii="Calibri" w:hAnsi="Calibri" w:cs="Calibri"/>
          <w:color w:val="000000"/>
        </w:rPr>
        <w:t>.</w:t>
      </w:r>
    </w:p>
    <w:p w14:paraId="7E37FDC6" w14:textId="0088CFE2" w:rsidR="005446A7" w:rsidRPr="006139C6" w:rsidRDefault="004E4841" w:rsidP="005446A7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4E4841">
        <w:rPr>
          <w:rFonts w:ascii="Calibri" w:hAnsi="Calibri" w:cs="Calibri"/>
          <w:b/>
          <w:color w:val="000000"/>
        </w:rPr>
        <w:t>Traits.</w:t>
      </w:r>
      <w:r>
        <w:rPr>
          <w:rFonts w:ascii="Calibri" w:hAnsi="Calibri" w:cs="Calibri"/>
          <w:color w:val="000000"/>
        </w:rPr>
        <w:t xml:space="preserve"> </w:t>
      </w:r>
      <w:r w:rsidR="00C31F59">
        <w:rPr>
          <w:rFonts w:ascii="Calibri" w:hAnsi="Calibri" w:cs="Calibri"/>
          <w:color w:val="000000"/>
        </w:rPr>
        <w:t xml:space="preserve">Similarly, capitalize a noun or a noun phrase </w:t>
      </w:r>
      <w:r w:rsidR="00DA0A26">
        <w:rPr>
          <w:rFonts w:ascii="Calibri" w:hAnsi="Calibri" w:cs="Calibri"/>
          <w:color w:val="000000"/>
        </w:rPr>
        <w:t>when it</w:t>
      </w:r>
      <w:r w:rsidR="00C31F59">
        <w:rPr>
          <w:rFonts w:ascii="Calibri" w:hAnsi="Calibri" w:cs="Calibri"/>
          <w:color w:val="000000"/>
        </w:rPr>
        <w:t xml:space="preserve"> is used as the name of a racial trait or a trait of a monster</w:t>
      </w:r>
      <w:r w:rsidR="005446A7" w:rsidRPr="006139C6">
        <w:rPr>
          <w:rFonts w:ascii="Calibri" w:hAnsi="Calibri" w:cs="Calibri"/>
          <w:color w:val="000000"/>
        </w:rPr>
        <w:t>.</w:t>
      </w:r>
    </w:p>
    <w:p w14:paraId="7238A3F9" w14:textId="08C4D75D" w:rsidR="00DA0A26" w:rsidRPr="006139C6" w:rsidRDefault="004E4841" w:rsidP="00DA0A26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4E4841">
        <w:rPr>
          <w:rFonts w:ascii="Calibri" w:hAnsi="Calibri" w:cs="Calibri"/>
          <w:b/>
          <w:color w:val="000000"/>
        </w:rPr>
        <w:t>Bold Monsters.</w:t>
      </w:r>
      <w:r>
        <w:rPr>
          <w:rFonts w:ascii="Calibri" w:hAnsi="Calibri" w:cs="Calibri"/>
          <w:color w:val="000000"/>
        </w:rPr>
        <w:t xml:space="preserve"> </w:t>
      </w:r>
      <w:r w:rsidR="00DA0A26">
        <w:rPr>
          <w:rFonts w:ascii="Calibri" w:hAnsi="Calibri" w:cs="Calibri"/>
          <w:color w:val="000000"/>
        </w:rPr>
        <w:t>If you’re writing adventure material that relies on monster stat blocks, be sure that boldface is properly applied (along with a cross-reference, when needed) where the reference to the stat block appears</w:t>
      </w:r>
      <w:r w:rsidR="00DA0A26" w:rsidRPr="006139C6">
        <w:rPr>
          <w:rFonts w:ascii="Calibri" w:hAnsi="Calibri" w:cs="Calibri"/>
          <w:color w:val="000000"/>
        </w:rPr>
        <w:t>.</w:t>
      </w:r>
    </w:p>
    <w:p w14:paraId="01F76FB0" w14:textId="3CF9823A" w:rsidR="00DA0A26" w:rsidRPr="006139C6" w:rsidRDefault="004E4841" w:rsidP="00DA0A26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4E4841">
        <w:rPr>
          <w:rFonts w:ascii="Calibri" w:hAnsi="Calibri" w:cs="Calibri"/>
          <w:b/>
          <w:color w:val="000000"/>
        </w:rPr>
        <w:t>Spell vs. Effect.</w:t>
      </w:r>
      <w:r>
        <w:rPr>
          <w:rFonts w:ascii="Calibri" w:hAnsi="Calibri" w:cs="Calibri"/>
          <w:color w:val="000000"/>
        </w:rPr>
        <w:t xml:space="preserve"> </w:t>
      </w:r>
      <w:r w:rsidR="00DA0A26">
        <w:rPr>
          <w:rFonts w:ascii="Calibri" w:hAnsi="Calibri" w:cs="Calibri"/>
          <w:color w:val="000000"/>
        </w:rPr>
        <w:t xml:space="preserve">If </w:t>
      </w:r>
      <w:r w:rsidR="008A58B3">
        <w:rPr>
          <w:rFonts w:ascii="Calibri" w:hAnsi="Calibri" w:cs="Calibri"/>
          <w:color w:val="000000"/>
        </w:rPr>
        <w:t>you use</w:t>
      </w:r>
      <w:r w:rsidR="000C177C">
        <w:rPr>
          <w:rFonts w:ascii="Calibri" w:hAnsi="Calibri" w:cs="Calibri"/>
          <w:color w:val="000000"/>
        </w:rPr>
        <w:t xml:space="preserve"> </w:t>
      </w:r>
      <w:r w:rsidR="00DA0A26">
        <w:rPr>
          <w:rFonts w:ascii="Calibri" w:hAnsi="Calibri" w:cs="Calibri"/>
          <w:color w:val="000000"/>
        </w:rPr>
        <w:t xml:space="preserve">the </w:t>
      </w:r>
      <w:r w:rsidR="000C177C">
        <w:rPr>
          <w:rFonts w:ascii="Calibri" w:hAnsi="Calibri" w:cs="Calibri"/>
          <w:color w:val="000000"/>
        </w:rPr>
        <w:t>same words to identify</w:t>
      </w:r>
      <w:r w:rsidR="00DA0A26">
        <w:rPr>
          <w:rFonts w:ascii="Calibri" w:hAnsi="Calibri" w:cs="Calibri"/>
          <w:color w:val="000000"/>
        </w:rPr>
        <w:t xml:space="preserve"> a spell and </w:t>
      </w:r>
      <w:r w:rsidR="008A58B3">
        <w:rPr>
          <w:rFonts w:ascii="Calibri" w:hAnsi="Calibri" w:cs="Calibri"/>
          <w:color w:val="000000"/>
        </w:rPr>
        <w:t xml:space="preserve">describe </w:t>
      </w:r>
      <w:r w:rsidR="00DA0A26">
        <w:rPr>
          <w:rFonts w:ascii="Calibri" w:hAnsi="Calibri" w:cs="Calibri"/>
          <w:color w:val="000000"/>
        </w:rPr>
        <w:t xml:space="preserve">its effect, use italic only for the spell </w:t>
      </w:r>
      <w:r w:rsidR="000C2DAA">
        <w:rPr>
          <w:rFonts w:ascii="Calibri" w:hAnsi="Calibri" w:cs="Calibri"/>
          <w:color w:val="000000"/>
        </w:rPr>
        <w:t>name</w:t>
      </w:r>
      <w:r w:rsidR="00DA0A26" w:rsidRPr="006139C6">
        <w:rPr>
          <w:rFonts w:ascii="Calibri" w:hAnsi="Calibri" w:cs="Calibri"/>
          <w:color w:val="000000"/>
        </w:rPr>
        <w:t>.</w:t>
      </w:r>
      <w:r w:rsidR="000C177C">
        <w:rPr>
          <w:rFonts w:ascii="Calibri" w:hAnsi="Calibri" w:cs="Calibri"/>
          <w:color w:val="000000"/>
        </w:rPr>
        <w:t xml:space="preserve"> (The casting of a </w:t>
      </w:r>
      <w:r w:rsidR="000C177C" w:rsidRPr="000C177C">
        <w:rPr>
          <w:rFonts w:ascii="Calibri" w:hAnsi="Calibri" w:cs="Calibri"/>
          <w:i/>
          <w:color w:val="000000"/>
        </w:rPr>
        <w:t>fireball</w:t>
      </w:r>
      <w:r w:rsidR="000C177C">
        <w:rPr>
          <w:rFonts w:ascii="Calibri" w:hAnsi="Calibri" w:cs="Calibri"/>
          <w:color w:val="000000"/>
        </w:rPr>
        <w:t xml:space="preserve"> spell produces a fireball.)</w:t>
      </w:r>
    </w:p>
    <w:p w14:paraId="0C845987" w14:textId="20B7BAF5" w:rsidR="00DA0A26" w:rsidRPr="006139C6" w:rsidRDefault="004E4841" w:rsidP="00DA0A26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4E4841">
        <w:rPr>
          <w:rFonts w:ascii="Calibri" w:hAnsi="Calibri" w:cs="Calibri"/>
          <w:b/>
          <w:color w:val="000000"/>
        </w:rPr>
        <w:t>Plane Speaking.</w:t>
      </w:r>
      <w:r>
        <w:rPr>
          <w:rFonts w:ascii="Calibri" w:hAnsi="Calibri" w:cs="Calibri"/>
          <w:color w:val="000000"/>
        </w:rPr>
        <w:t xml:space="preserve"> </w:t>
      </w:r>
      <w:r w:rsidR="000C177C">
        <w:rPr>
          <w:rFonts w:ascii="Calibri" w:hAnsi="Calibri" w:cs="Calibri"/>
          <w:color w:val="000000"/>
        </w:rPr>
        <w:t xml:space="preserve">Check any </w:t>
      </w:r>
      <w:r w:rsidR="000C2DAA">
        <w:rPr>
          <w:rFonts w:ascii="Calibri" w:hAnsi="Calibri" w:cs="Calibri"/>
          <w:color w:val="000000"/>
        </w:rPr>
        <w:t>mentions of</w:t>
      </w:r>
      <w:r w:rsidR="000C177C">
        <w:rPr>
          <w:rFonts w:ascii="Calibri" w:hAnsi="Calibri" w:cs="Calibri"/>
          <w:color w:val="000000"/>
        </w:rPr>
        <w:t xml:space="preserve"> planes of existence</w:t>
      </w:r>
      <w:r w:rsidR="008A58B3">
        <w:rPr>
          <w:rFonts w:ascii="Calibri" w:hAnsi="Calibri" w:cs="Calibri"/>
          <w:color w:val="000000"/>
        </w:rPr>
        <w:t xml:space="preserve"> for the proper preposition</w:t>
      </w:r>
      <w:r w:rsidR="00DA0A26" w:rsidRPr="006139C6">
        <w:rPr>
          <w:rFonts w:ascii="Calibri" w:hAnsi="Calibri" w:cs="Calibri"/>
          <w:color w:val="000000"/>
        </w:rPr>
        <w:t>.</w:t>
      </w:r>
      <w:r w:rsidR="000C177C">
        <w:rPr>
          <w:rFonts w:ascii="Calibri" w:hAnsi="Calibri" w:cs="Calibri"/>
          <w:color w:val="000000"/>
        </w:rPr>
        <w:t xml:space="preserve"> </w:t>
      </w:r>
      <w:r w:rsidR="008A58B3">
        <w:rPr>
          <w:rFonts w:ascii="Calibri" w:hAnsi="Calibri" w:cs="Calibri"/>
          <w:color w:val="000000"/>
        </w:rPr>
        <w:t xml:space="preserve">Something is </w:t>
      </w:r>
      <w:r w:rsidR="008A58B3" w:rsidRPr="008A58B3">
        <w:rPr>
          <w:rFonts w:ascii="Calibri" w:hAnsi="Calibri" w:cs="Calibri"/>
          <w:b/>
          <w:color w:val="000000"/>
        </w:rPr>
        <w:t>on</w:t>
      </w:r>
      <w:r w:rsidR="008A58B3">
        <w:rPr>
          <w:rFonts w:ascii="Calibri" w:hAnsi="Calibri" w:cs="Calibri"/>
          <w:color w:val="000000"/>
        </w:rPr>
        <w:t xml:space="preserve"> a plane whose name includes “Plane” (such as the Plane of Air), but </w:t>
      </w:r>
      <w:r w:rsidR="008A58B3" w:rsidRPr="008A58B3">
        <w:rPr>
          <w:rFonts w:ascii="Calibri" w:hAnsi="Calibri" w:cs="Calibri"/>
          <w:b/>
          <w:color w:val="000000"/>
        </w:rPr>
        <w:t>in</w:t>
      </w:r>
      <w:r w:rsidR="008A58B3">
        <w:rPr>
          <w:rFonts w:ascii="Calibri" w:hAnsi="Calibri" w:cs="Calibri"/>
          <w:color w:val="000000"/>
        </w:rPr>
        <w:t xml:space="preserve"> a plane whose name does not include the word (such as the Abyss). </w:t>
      </w:r>
    </w:p>
    <w:p w14:paraId="466519A0" w14:textId="224E6D1E" w:rsidR="00B961ED" w:rsidRPr="006139C6" w:rsidRDefault="004E4841" w:rsidP="00B961ED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4E4841">
        <w:rPr>
          <w:rFonts w:ascii="Calibri" w:hAnsi="Calibri" w:cs="Calibri"/>
          <w:b/>
          <w:color w:val="000000"/>
        </w:rPr>
        <w:t>Proficiency.</w:t>
      </w:r>
      <w:r>
        <w:rPr>
          <w:rFonts w:ascii="Calibri" w:hAnsi="Calibri" w:cs="Calibri"/>
          <w:color w:val="000000"/>
        </w:rPr>
        <w:t xml:space="preserve"> </w:t>
      </w:r>
      <w:r w:rsidR="00B961ED">
        <w:rPr>
          <w:rFonts w:ascii="Calibri" w:hAnsi="Calibri" w:cs="Calibri"/>
          <w:color w:val="000000"/>
        </w:rPr>
        <w:t xml:space="preserve">Locate all uses of “proficient” or “proficiency” in a game-rule context and be sure </w:t>
      </w:r>
      <w:r w:rsidR="00F512AE">
        <w:rPr>
          <w:rFonts w:ascii="Calibri" w:hAnsi="Calibri" w:cs="Calibri"/>
          <w:color w:val="000000"/>
        </w:rPr>
        <w:t>each</w:t>
      </w:r>
      <w:r w:rsidR="00B961ED">
        <w:rPr>
          <w:rFonts w:ascii="Calibri" w:hAnsi="Calibri" w:cs="Calibri"/>
          <w:color w:val="000000"/>
        </w:rPr>
        <w:t xml:space="preserve"> has the proper preposition</w:t>
      </w:r>
      <w:r w:rsidR="00B961ED" w:rsidRPr="006139C6">
        <w:rPr>
          <w:rFonts w:ascii="Calibri" w:hAnsi="Calibri" w:cs="Calibri"/>
          <w:color w:val="000000"/>
        </w:rPr>
        <w:t>.</w:t>
      </w:r>
      <w:r w:rsidR="00B961ED">
        <w:rPr>
          <w:rFonts w:ascii="Calibri" w:hAnsi="Calibri" w:cs="Calibri"/>
          <w:color w:val="000000"/>
        </w:rPr>
        <w:t xml:space="preserve"> Someone is proficient </w:t>
      </w:r>
      <w:r w:rsidR="00B961ED">
        <w:rPr>
          <w:rFonts w:ascii="Calibri" w:hAnsi="Calibri" w:cs="Calibri"/>
          <w:b/>
          <w:color w:val="000000"/>
        </w:rPr>
        <w:t>i</w:t>
      </w:r>
      <w:r w:rsidR="00B961ED" w:rsidRPr="008A58B3">
        <w:rPr>
          <w:rFonts w:ascii="Calibri" w:hAnsi="Calibri" w:cs="Calibri"/>
          <w:b/>
          <w:color w:val="000000"/>
        </w:rPr>
        <w:t>n</w:t>
      </w:r>
      <w:r w:rsidR="00B961ED">
        <w:rPr>
          <w:rFonts w:ascii="Calibri" w:hAnsi="Calibri" w:cs="Calibri"/>
          <w:color w:val="000000"/>
        </w:rPr>
        <w:t xml:space="preserve"> a skill, a language, or some other capability, but </w:t>
      </w:r>
      <w:r w:rsidR="00B961ED">
        <w:rPr>
          <w:rFonts w:ascii="Calibri" w:hAnsi="Calibri" w:cs="Calibri"/>
          <w:b/>
          <w:color w:val="000000"/>
        </w:rPr>
        <w:t>with</w:t>
      </w:r>
      <w:r w:rsidR="00B961ED">
        <w:rPr>
          <w:rFonts w:ascii="Calibri" w:hAnsi="Calibri" w:cs="Calibri"/>
          <w:color w:val="000000"/>
        </w:rPr>
        <w:t xml:space="preserve"> a tool, a weapon, or some other object. </w:t>
      </w:r>
    </w:p>
    <w:p w14:paraId="1443AF94" w14:textId="3CB32EE5" w:rsidR="008A58B3" w:rsidRPr="006139C6" w:rsidRDefault="005342DF" w:rsidP="008A58B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5342DF">
        <w:rPr>
          <w:rFonts w:ascii="Calibri" w:hAnsi="Calibri" w:cs="Calibri"/>
          <w:b/>
          <w:color w:val="000000"/>
        </w:rPr>
        <w:t>Make it So.</w:t>
      </w:r>
      <w:r>
        <w:rPr>
          <w:rFonts w:ascii="Calibri" w:hAnsi="Calibri" w:cs="Calibri"/>
          <w:color w:val="000000"/>
        </w:rPr>
        <w:t xml:space="preserve"> </w:t>
      </w:r>
      <w:r w:rsidR="008A58B3">
        <w:rPr>
          <w:rFonts w:ascii="Calibri" w:hAnsi="Calibri" w:cs="Calibri"/>
          <w:color w:val="000000"/>
        </w:rPr>
        <w:t xml:space="preserve">Double-check all </w:t>
      </w:r>
      <w:r w:rsidR="006B2661">
        <w:rPr>
          <w:rFonts w:ascii="Calibri" w:hAnsi="Calibri" w:cs="Calibri"/>
          <w:color w:val="000000"/>
        </w:rPr>
        <w:t xml:space="preserve">rules text and stat blocks where an ability check or a saving throw is mentioned, to be sure that making the </w:t>
      </w:r>
      <w:r w:rsidR="00D76719">
        <w:rPr>
          <w:rFonts w:ascii="Calibri" w:hAnsi="Calibri" w:cs="Calibri"/>
          <w:color w:val="000000"/>
        </w:rPr>
        <w:t>check or the saving throw</w:t>
      </w:r>
      <w:r w:rsidR="006B2661">
        <w:rPr>
          <w:rFonts w:ascii="Calibri" w:hAnsi="Calibri" w:cs="Calibri"/>
          <w:color w:val="000000"/>
        </w:rPr>
        <w:t xml:space="preserve"> is not </w:t>
      </w:r>
      <w:r w:rsidR="00B9695C">
        <w:rPr>
          <w:rFonts w:ascii="Calibri" w:hAnsi="Calibri" w:cs="Calibri"/>
          <w:color w:val="000000"/>
        </w:rPr>
        <w:t>treated as equivalent to</w:t>
      </w:r>
      <w:r w:rsidR="006B2661">
        <w:rPr>
          <w:rFonts w:ascii="Calibri" w:hAnsi="Calibri" w:cs="Calibri"/>
          <w:color w:val="000000"/>
        </w:rPr>
        <w:t xml:space="preserve"> succeeding on it</w:t>
      </w:r>
      <w:r w:rsidR="008A58B3" w:rsidRPr="006139C6">
        <w:rPr>
          <w:rFonts w:ascii="Calibri" w:hAnsi="Calibri" w:cs="Calibri"/>
          <w:color w:val="000000"/>
        </w:rPr>
        <w:t>.</w:t>
      </w:r>
    </w:p>
    <w:p w14:paraId="03B38FE5" w14:textId="28EFDE59" w:rsidR="008A58B3" w:rsidRPr="006139C6" w:rsidRDefault="005342DF" w:rsidP="008A58B3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5342DF">
        <w:rPr>
          <w:rFonts w:ascii="Calibri" w:hAnsi="Calibri" w:cs="Calibri"/>
          <w:b/>
          <w:color w:val="000000"/>
        </w:rPr>
        <w:t>Magical Advice.</w:t>
      </w:r>
      <w:r>
        <w:rPr>
          <w:rFonts w:ascii="Calibri" w:hAnsi="Calibri" w:cs="Calibri"/>
          <w:color w:val="000000"/>
        </w:rPr>
        <w:t xml:space="preserve"> </w:t>
      </w:r>
      <w:r w:rsidR="006B2661">
        <w:rPr>
          <w:rFonts w:ascii="Calibri" w:hAnsi="Calibri" w:cs="Calibri"/>
          <w:color w:val="000000"/>
        </w:rPr>
        <w:t>Be sensitive to the use of the adjective “magic” versus “magical</w:t>
      </w:r>
      <w:r w:rsidR="008A58B3" w:rsidRPr="006139C6">
        <w:rPr>
          <w:rFonts w:ascii="Calibri" w:hAnsi="Calibri" w:cs="Calibri"/>
          <w:color w:val="000000"/>
        </w:rPr>
        <w:t>.</w:t>
      </w:r>
      <w:r w:rsidR="006B2661">
        <w:rPr>
          <w:rFonts w:ascii="Calibri" w:hAnsi="Calibri" w:cs="Calibri"/>
          <w:color w:val="000000"/>
        </w:rPr>
        <w:t xml:space="preserve">” The former </w:t>
      </w:r>
      <w:r w:rsidR="00B9695C">
        <w:rPr>
          <w:rFonts w:ascii="Calibri" w:hAnsi="Calibri" w:cs="Calibri"/>
          <w:color w:val="000000"/>
        </w:rPr>
        <w:t xml:space="preserve">usually </w:t>
      </w:r>
      <w:r w:rsidR="006B2661">
        <w:rPr>
          <w:rFonts w:ascii="Calibri" w:hAnsi="Calibri" w:cs="Calibri"/>
          <w:color w:val="000000"/>
        </w:rPr>
        <w:t xml:space="preserve">applies to objects </w:t>
      </w:r>
      <w:r w:rsidR="00B9695C">
        <w:rPr>
          <w:rFonts w:ascii="Calibri" w:hAnsi="Calibri" w:cs="Calibri"/>
          <w:color w:val="000000"/>
        </w:rPr>
        <w:t xml:space="preserve">or phenomena </w:t>
      </w:r>
      <w:r w:rsidR="006B2661">
        <w:rPr>
          <w:rFonts w:ascii="Calibri" w:hAnsi="Calibri" w:cs="Calibri"/>
          <w:color w:val="000000"/>
        </w:rPr>
        <w:t>that have magical qualities (magic item, magic trap</w:t>
      </w:r>
      <w:r w:rsidR="00B9695C">
        <w:rPr>
          <w:rFonts w:ascii="Calibri" w:hAnsi="Calibri" w:cs="Calibri"/>
          <w:color w:val="000000"/>
        </w:rPr>
        <w:t>, magic aura</w:t>
      </w:r>
      <w:r w:rsidR="006B2661">
        <w:rPr>
          <w:rFonts w:ascii="Calibri" w:hAnsi="Calibri" w:cs="Calibri"/>
          <w:color w:val="000000"/>
        </w:rPr>
        <w:t>)</w:t>
      </w:r>
      <w:r w:rsidR="00B9695C">
        <w:rPr>
          <w:rFonts w:ascii="Calibri" w:hAnsi="Calibri" w:cs="Calibri"/>
          <w:color w:val="000000"/>
        </w:rPr>
        <w:t xml:space="preserve">; the latter is often used in other contexts (magical </w:t>
      </w:r>
      <w:r w:rsidR="00B961ED">
        <w:rPr>
          <w:rFonts w:ascii="Calibri" w:hAnsi="Calibri" w:cs="Calibri"/>
          <w:color w:val="000000"/>
        </w:rPr>
        <w:t>talent</w:t>
      </w:r>
      <w:r w:rsidR="00B9695C">
        <w:rPr>
          <w:rFonts w:ascii="Calibri" w:hAnsi="Calibri" w:cs="Calibri"/>
          <w:color w:val="000000"/>
        </w:rPr>
        <w:t>, magical atmosphere).</w:t>
      </w:r>
    </w:p>
    <w:p w14:paraId="3C39281E" w14:textId="20ECCA1D" w:rsidR="00FB7A30" w:rsidRDefault="005342DF" w:rsidP="00FB7A30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 w:rsidRPr="005342DF">
        <w:rPr>
          <w:rFonts w:ascii="Calibri" w:hAnsi="Calibri" w:cs="Calibri"/>
          <w:b/>
          <w:color w:val="000000"/>
        </w:rPr>
        <w:t>Success or Failure.</w:t>
      </w:r>
      <w:r>
        <w:rPr>
          <w:rFonts w:ascii="Calibri" w:hAnsi="Calibri" w:cs="Calibri"/>
          <w:color w:val="000000"/>
        </w:rPr>
        <w:t xml:space="preserve"> </w:t>
      </w:r>
      <w:r w:rsidR="003F2017">
        <w:rPr>
          <w:rFonts w:ascii="Calibri" w:hAnsi="Calibri" w:cs="Calibri"/>
          <w:color w:val="000000"/>
        </w:rPr>
        <w:t>Be careful with expressions of success or failure. When players roll dice, characters don’t succeed or fail; their checks and saving throws do. Likewise, characters don’t hit or miss when they attack; their attack rolls do</w:t>
      </w:r>
      <w:r w:rsidR="008A58B3" w:rsidRPr="006139C6">
        <w:rPr>
          <w:rFonts w:ascii="Calibri" w:hAnsi="Calibri" w:cs="Calibri"/>
          <w:color w:val="000000"/>
        </w:rPr>
        <w:t>.</w:t>
      </w:r>
    </w:p>
    <w:p w14:paraId="37126B9D" w14:textId="74688D35" w:rsidR="00716DD4" w:rsidRPr="00FB7A30" w:rsidRDefault="00716DD4" w:rsidP="00FB7A30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Advantage.</w:t>
      </w:r>
      <w:r>
        <w:rPr>
          <w:rFonts w:ascii="Calibri" w:hAnsi="Calibri" w:cs="Calibri"/>
          <w:color w:val="000000"/>
        </w:rPr>
        <w:t xml:space="preserve"> Look at any uses of “advantage” (or “disadvantage”) as a game rule to ensure that the expressions are properly worded. An attack roll, saving throw, or ability check is made </w:t>
      </w:r>
      <w:r w:rsidRPr="00716DD4">
        <w:rPr>
          <w:rFonts w:ascii="Calibri" w:hAnsi="Calibri" w:cs="Calibri"/>
          <w:b/>
          <w:color w:val="000000"/>
        </w:rPr>
        <w:t>with</w:t>
      </w:r>
      <w:r>
        <w:rPr>
          <w:rFonts w:ascii="Calibri" w:hAnsi="Calibri" w:cs="Calibri"/>
          <w:color w:val="000000"/>
        </w:rPr>
        <w:t xml:space="preserve"> advantage. A creature has advantage </w:t>
      </w:r>
      <w:r w:rsidRPr="000F6BAF">
        <w:rPr>
          <w:rFonts w:ascii="Calibri" w:hAnsi="Calibri" w:cs="Calibri"/>
          <w:b/>
          <w:color w:val="000000"/>
        </w:rPr>
        <w:t>on</w:t>
      </w:r>
      <w:r>
        <w:rPr>
          <w:rFonts w:ascii="Calibri" w:hAnsi="Calibri" w:cs="Calibri"/>
          <w:color w:val="000000"/>
        </w:rPr>
        <w:t xml:space="preserve"> </w:t>
      </w:r>
      <w:r w:rsidR="000F6BAF">
        <w:rPr>
          <w:rFonts w:ascii="Calibri" w:hAnsi="Calibri" w:cs="Calibri"/>
          <w:color w:val="000000"/>
        </w:rPr>
        <w:t>the roll, saving throw, or check that it attempts.</w:t>
      </w:r>
    </w:p>
    <w:p w14:paraId="450F8B77" w14:textId="77777777" w:rsidR="005446A7" w:rsidRDefault="005446A7" w:rsidP="005446A7"/>
    <w:p w14:paraId="6705214F" w14:textId="77777777" w:rsidR="007441D2" w:rsidRDefault="007441D2" w:rsidP="009A65B8">
      <w:pPr>
        <w:ind w:left="360"/>
        <w:rPr>
          <w:b/>
        </w:rPr>
      </w:pPr>
    </w:p>
    <w:p w14:paraId="1C74EBBB" w14:textId="1DFBFC27" w:rsidR="009A65B8" w:rsidRPr="006139C6" w:rsidRDefault="009A65B8" w:rsidP="009A65B8">
      <w:pPr>
        <w:ind w:left="360"/>
        <w:rPr>
          <w:b/>
        </w:rPr>
      </w:pPr>
      <w:bookmarkStart w:id="0" w:name="_GoBack"/>
      <w:bookmarkEnd w:id="0"/>
      <w:r>
        <w:rPr>
          <w:b/>
        </w:rPr>
        <w:lastRenderedPageBreak/>
        <w:t>Old Habits</w:t>
      </w:r>
    </w:p>
    <w:p w14:paraId="4C842CA4" w14:textId="58C997A0" w:rsidR="009A65B8" w:rsidRPr="00C31F59" w:rsidRDefault="009A65B8" w:rsidP="009A65B8">
      <w:p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you’re familiar with D&amp;D rulebooks from earlier editions of the game—particularly if you’ve done any writing for those versions—you might have picked up a few ways of expressing things that we have abandoned. These tips </w:t>
      </w:r>
      <w:r w:rsidR="003519A1">
        <w:rPr>
          <w:rFonts w:ascii="Calibri" w:hAnsi="Calibri" w:cs="Calibri"/>
          <w:color w:val="000000"/>
        </w:rPr>
        <w:t>will help you determine if those old habits need to be broken.</w:t>
      </w:r>
    </w:p>
    <w:p w14:paraId="05B162E7" w14:textId="0D742455" w:rsidR="009A65B8" w:rsidRDefault="003519A1" w:rsidP="009A65B8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Extra (d) Damage</w:t>
      </w:r>
      <w:r w:rsidR="009A65B8" w:rsidRPr="004E4841">
        <w:rPr>
          <w:rFonts w:ascii="Calibri" w:hAnsi="Calibri" w:cs="Calibri"/>
          <w:b/>
          <w:color w:val="000000"/>
        </w:rPr>
        <w:t>.</w:t>
      </w:r>
      <w:r w:rsidR="009A65B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In an expression of extra damage, the word “extra” goes in front of the amount of damage</w:t>
      </w:r>
      <w:r w:rsidR="009A65B8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For instance, we don’t say “1d6 extra damage.”</w:t>
      </w:r>
    </w:p>
    <w:p w14:paraId="165D19A8" w14:textId="7476F592" w:rsidR="003519A1" w:rsidRPr="006139C6" w:rsidRDefault="00E81583" w:rsidP="003519A1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No </w:t>
      </w:r>
      <w:r w:rsidR="00FA07C0">
        <w:rPr>
          <w:rFonts w:ascii="Calibri" w:hAnsi="Calibri" w:cs="Calibri"/>
          <w:b/>
          <w:color w:val="000000"/>
        </w:rPr>
        <w:t xml:space="preserve">to </w:t>
      </w:r>
      <w:r>
        <w:rPr>
          <w:rFonts w:ascii="Calibri" w:hAnsi="Calibri" w:cs="Calibri"/>
          <w:b/>
          <w:color w:val="000000"/>
        </w:rPr>
        <w:t>Points</w:t>
      </w:r>
      <w:r w:rsidR="003519A1" w:rsidRPr="004E4841">
        <w:rPr>
          <w:rFonts w:ascii="Calibri" w:hAnsi="Calibri" w:cs="Calibri"/>
          <w:b/>
          <w:color w:val="000000"/>
        </w:rPr>
        <w:t>.</w:t>
      </w:r>
      <w:r w:rsidR="003519A1">
        <w:rPr>
          <w:rFonts w:ascii="Calibri" w:hAnsi="Calibri" w:cs="Calibri"/>
          <w:color w:val="000000"/>
        </w:rPr>
        <w:t xml:space="preserve"> </w:t>
      </w:r>
      <w:r w:rsidR="00F222AA">
        <w:rPr>
          <w:rFonts w:ascii="Calibri" w:hAnsi="Calibri" w:cs="Calibri"/>
          <w:color w:val="000000"/>
        </w:rPr>
        <w:t>In contrast to earlier editions, “points of” does not appear in a damage expression</w:t>
      </w:r>
      <w:r w:rsidR="003519A1">
        <w:rPr>
          <w:rFonts w:ascii="Calibri" w:hAnsi="Calibri" w:cs="Calibri"/>
          <w:color w:val="000000"/>
        </w:rPr>
        <w:t>.</w:t>
      </w:r>
    </w:p>
    <w:p w14:paraId="0CAE0552" w14:textId="41187D0B" w:rsidR="003519A1" w:rsidRPr="006139C6" w:rsidRDefault="00F222AA" w:rsidP="003519A1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b/>
          <w:color w:val="000000"/>
        </w:rPr>
        <w:t>Yes</w:t>
      </w:r>
      <w:proofErr w:type="gramEnd"/>
      <w:r>
        <w:rPr>
          <w:rFonts w:ascii="Calibri" w:hAnsi="Calibri" w:cs="Calibri"/>
          <w:b/>
          <w:color w:val="000000"/>
        </w:rPr>
        <w:t xml:space="preserve"> </w:t>
      </w:r>
      <w:r w:rsidR="00FA07C0">
        <w:rPr>
          <w:rFonts w:ascii="Calibri" w:hAnsi="Calibri" w:cs="Calibri"/>
          <w:b/>
          <w:color w:val="000000"/>
        </w:rPr>
        <w:t xml:space="preserve">to </w:t>
      </w:r>
      <w:r>
        <w:rPr>
          <w:rFonts w:ascii="Calibri" w:hAnsi="Calibri" w:cs="Calibri"/>
          <w:b/>
          <w:color w:val="000000"/>
        </w:rPr>
        <w:t>Types</w:t>
      </w:r>
      <w:r w:rsidR="003519A1" w:rsidRPr="004E4841">
        <w:rPr>
          <w:rFonts w:ascii="Calibri" w:hAnsi="Calibri" w:cs="Calibri"/>
          <w:b/>
          <w:color w:val="000000"/>
        </w:rPr>
        <w:t>.</w:t>
      </w:r>
      <w:r w:rsidR="003519A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Every effect deals damage of a particular type, such as bludgeoning or fire</w:t>
      </w:r>
      <w:r w:rsidR="003519A1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The “Damage and Healing” section in chapter 9 of the </w:t>
      </w:r>
      <w:r w:rsidRPr="00F222AA">
        <w:rPr>
          <w:rFonts w:ascii="Calibri" w:hAnsi="Calibri" w:cs="Calibri"/>
          <w:i/>
          <w:color w:val="000000"/>
        </w:rPr>
        <w:t>Player’s Handbook</w:t>
      </w:r>
      <w:r>
        <w:rPr>
          <w:rFonts w:ascii="Calibri" w:hAnsi="Calibri" w:cs="Calibri"/>
          <w:color w:val="000000"/>
        </w:rPr>
        <w:t xml:space="preserve"> has a list of all the damage types in the game.</w:t>
      </w:r>
    </w:p>
    <w:p w14:paraId="0B0ED29D" w14:textId="2FEE67BA" w:rsidR="003519A1" w:rsidRPr="006139C6" w:rsidRDefault="00FA07C0" w:rsidP="003519A1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Hit Point Maximum</w:t>
      </w:r>
      <w:r w:rsidR="003519A1" w:rsidRPr="004E4841">
        <w:rPr>
          <w:rFonts w:ascii="Calibri" w:hAnsi="Calibri" w:cs="Calibri"/>
          <w:b/>
          <w:color w:val="000000"/>
        </w:rPr>
        <w:t>.</w:t>
      </w:r>
      <w:r w:rsidR="003519A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This is a new term in the game</w:t>
      </w:r>
      <w:r w:rsidR="003519A1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Don’t confuse it with “maximum hit points,” which is no longer used.</w:t>
      </w:r>
    </w:p>
    <w:p w14:paraId="52B290E0" w14:textId="6EFB2F47" w:rsidR="003519A1" w:rsidRPr="006139C6" w:rsidRDefault="00947AFB" w:rsidP="003519A1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Irregular Plurals</w:t>
      </w:r>
      <w:r w:rsidR="003519A1" w:rsidRPr="004E4841">
        <w:rPr>
          <w:rFonts w:ascii="Calibri" w:hAnsi="Calibri" w:cs="Calibri"/>
          <w:b/>
          <w:color w:val="000000"/>
        </w:rPr>
        <w:t>.</w:t>
      </w:r>
      <w:r w:rsidR="003519A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Several monster names (such as djinni, </w:t>
      </w:r>
      <w:proofErr w:type="spellStart"/>
      <w:r>
        <w:rPr>
          <w:rFonts w:ascii="Calibri" w:hAnsi="Calibri" w:cs="Calibri"/>
          <w:color w:val="000000"/>
        </w:rPr>
        <w:t>efreeti</w:t>
      </w:r>
      <w:proofErr w:type="spellEnd"/>
      <w:r>
        <w:rPr>
          <w:rFonts w:ascii="Calibri" w:hAnsi="Calibri" w:cs="Calibri"/>
          <w:color w:val="000000"/>
        </w:rPr>
        <w:t xml:space="preserve">, and </w:t>
      </w:r>
      <w:proofErr w:type="spellStart"/>
      <w:r>
        <w:rPr>
          <w:rFonts w:ascii="Calibri" w:hAnsi="Calibri" w:cs="Calibri"/>
          <w:color w:val="000000"/>
        </w:rPr>
        <w:t>slaad</w:t>
      </w:r>
      <w:proofErr w:type="spellEnd"/>
      <w:r>
        <w:rPr>
          <w:rFonts w:ascii="Calibri" w:hAnsi="Calibri" w:cs="Calibri"/>
          <w:color w:val="000000"/>
        </w:rPr>
        <w:t>) form their plurals in nonstandard fashion</w:t>
      </w:r>
      <w:r w:rsidR="003519A1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</w:t>
      </w:r>
      <w:r w:rsidR="008C7882">
        <w:rPr>
          <w:rFonts w:ascii="Calibri" w:hAnsi="Calibri" w:cs="Calibri"/>
          <w:color w:val="000000"/>
        </w:rPr>
        <w:t xml:space="preserve">In other cases, the singular and plural forms of a monster’s name are identical. </w:t>
      </w:r>
      <w:r>
        <w:rPr>
          <w:rFonts w:ascii="Calibri" w:hAnsi="Calibri" w:cs="Calibri"/>
          <w:color w:val="000000"/>
        </w:rPr>
        <w:t xml:space="preserve">Earlier editions treat some of these plurals differently. Consult the word list in the style guide for the proper way to </w:t>
      </w:r>
      <w:r w:rsidR="008C7882">
        <w:rPr>
          <w:rFonts w:ascii="Calibri" w:hAnsi="Calibri" w:cs="Calibri"/>
          <w:color w:val="000000"/>
        </w:rPr>
        <w:t>express them.</w:t>
      </w:r>
    </w:p>
    <w:p w14:paraId="276CB1ED" w14:textId="21FA8B6F" w:rsidR="003519A1" w:rsidRPr="006139C6" w:rsidRDefault="00FB7A30" w:rsidP="003519A1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Save</w:t>
      </w:r>
      <w:r w:rsidR="003519A1" w:rsidRPr="004E4841">
        <w:rPr>
          <w:rFonts w:ascii="Calibri" w:hAnsi="Calibri" w:cs="Calibri"/>
          <w:b/>
          <w:color w:val="000000"/>
        </w:rPr>
        <w:t>.</w:t>
      </w:r>
      <w:r w:rsidR="003519A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If you use the word “save” </w:t>
      </w:r>
      <w:r w:rsidR="008660BA">
        <w:rPr>
          <w:rFonts w:ascii="Calibri" w:hAnsi="Calibri" w:cs="Calibri"/>
          <w:color w:val="000000"/>
        </w:rPr>
        <w:t>in rules text involving a saving throw,</w:t>
      </w:r>
      <w:r>
        <w:rPr>
          <w:rFonts w:ascii="Calibri" w:hAnsi="Calibri" w:cs="Calibri"/>
          <w:color w:val="000000"/>
        </w:rPr>
        <w:t xml:space="preserve"> check to be sure that </w:t>
      </w:r>
      <w:r w:rsidR="008660BA">
        <w:rPr>
          <w:rFonts w:ascii="Calibri" w:hAnsi="Calibri" w:cs="Calibri"/>
          <w:color w:val="000000"/>
        </w:rPr>
        <w:t xml:space="preserve">it’s not treated as equivalent to “successful saving throw.” </w:t>
      </w:r>
      <w:r w:rsidR="00C60106">
        <w:rPr>
          <w:rFonts w:ascii="Calibri" w:hAnsi="Calibri" w:cs="Calibri"/>
          <w:color w:val="000000"/>
        </w:rPr>
        <w:t>That practice, from earlier versions of the rules, has been abandoned. Also, watch out for “Wisdom save” (and the like), which should always be “Wisdom saving throw.”</w:t>
      </w:r>
    </w:p>
    <w:p w14:paraId="4520CCC9" w14:textId="77777777" w:rsidR="003519A1" w:rsidRPr="006139C6" w:rsidRDefault="003519A1" w:rsidP="009A65B8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1BCFA28E" w14:textId="77777777" w:rsidR="006139C6" w:rsidRDefault="006139C6"/>
    <w:sectPr w:rsidR="006139C6" w:rsidSect="0061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310D0"/>
    <w:multiLevelType w:val="multilevel"/>
    <w:tmpl w:val="3F98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C6"/>
    <w:rsid w:val="000775D9"/>
    <w:rsid w:val="000950F5"/>
    <w:rsid w:val="000C177C"/>
    <w:rsid w:val="000C2DAA"/>
    <w:rsid w:val="000C6129"/>
    <w:rsid w:val="000F6BAF"/>
    <w:rsid w:val="0010471C"/>
    <w:rsid w:val="00114F78"/>
    <w:rsid w:val="001B5BD9"/>
    <w:rsid w:val="001C0DC9"/>
    <w:rsid w:val="00251B82"/>
    <w:rsid w:val="00347E55"/>
    <w:rsid w:val="003519A1"/>
    <w:rsid w:val="003F2017"/>
    <w:rsid w:val="00440B7B"/>
    <w:rsid w:val="004E4841"/>
    <w:rsid w:val="005342DF"/>
    <w:rsid w:val="005446A7"/>
    <w:rsid w:val="006139C6"/>
    <w:rsid w:val="006148C1"/>
    <w:rsid w:val="006B2661"/>
    <w:rsid w:val="00716DD4"/>
    <w:rsid w:val="007441D2"/>
    <w:rsid w:val="00786180"/>
    <w:rsid w:val="00797D5E"/>
    <w:rsid w:val="008660BA"/>
    <w:rsid w:val="00894371"/>
    <w:rsid w:val="008A58B3"/>
    <w:rsid w:val="008C7882"/>
    <w:rsid w:val="00947AFB"/>
    <w:rsid w:val="009A65B8"/>
    <w:rsid w:val="009B5A7A"/>
    <w:rsid w:val="009C6A15"/>
    <w:rsid w:val="00A36160"/>
    <w:rsid w:val="00B44936"/>
    <w:rsid w:val="00B961ED"/>
    <w:rsid w:val="00B9695C"/>
    <w:rsid w:val="00BC7C0B"/>
    <w:rsid w:val="00C006D7"/>
    <w:rsid w:val="00C31F59"/>
    <w:rsid w:val="00C5341F"/>
    <w:rsid w:val="00C60106"/>
    <w:rsid w:val="00D06573"/>
    <w:rsid w:val="00D76719"/>
    <w:rsid w:val="00DA0A26"/>
    <w:rsid w:val="00E81583"/>
    <w:rsid w:val="00F222AA"/>
    <w:rsid w:val="00F512AE"/>
    <w:rsid w:val="00F53963"/>
    <w:rsid w:val="00F72193"/>
    <w:rsid w:val="00FA07C0"/>
    <w:rsid w:val="00FB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6323"/>
  <w14:defaultImageDpi w14:val="32767"/>
  <w15:chartTrackingRefBased/>
  <w15:docId w15:val="{B2155AC1-741C-174F-9B24-C64AE8E9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9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2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Kim</dc:creator>
  <cp:keywords/>
  <dc:description/>
  <cp:lastModifiedBy>Benham, Bill</cp:lastModifiedBy>
  <cp:revision>2</cp:revision>
  <dcterms:created xsi:type="dcterms:W3CDTF">2018-11-06T17:37:00Z</dcterms:created>
  <dcterms:modified xsi:type="dcterms:W3CDTF">2018-11-06T17:37:00Z</dcterms:modified>
</cp:coreProperties>
</file>