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5AF2" w14:textId="77777777" w:rsidR="00925ED6" w:rsidRPr="002D1B87" w:rsidRDefault="00DE0B69" w:rsidP="00925ED6">
      <w:pPr>
        <w:pStyle w:val="3"/>
        <w:rPr>
          <w:lang w:val="ru-RU"/>
        </w:rPr>
      </w:pPr>
      <w:bookmarkStart w:id="0" w:name="poisons"/>
      <w:r>
        <w:rPr>
          <w:lang w:val="ru-RU"/>
        </w:rPr>
        <w:t>Яды</w:t>
      </w:r>
      <w:bookmarkEnd w:id="0"/>
    </w:p>
    <w:p w14:paraId="077F99E2" w14:textId="77777777" w:rsidR="00925ED6" w:rsidRPr="002D1B87" w:rsidRDefault="00DE0B69" w:rsidP="00925ED6">
      <w:pPr>
        <w:pStyle w:val="FirstParagraph"/>
        <w:rPr>
          <w:lang w:val="ru-RU"/>
        </w:rPr>
      </w:pPr>
      <w:r>
        <w:rPr>
          <w:lang w:val="ru-RU"/>
        </w:rPr>
        <w:t xml:space="preserve">Яды коварны и смертельно опасны, и потому запрещены в большинстве обществ, но всё равно остаются любимым оружием наёмных убийц, </w:t>
      </w:r>
      <w:proofErr w:type="spellStart"/>
      <w:r>
        <w:rPr>
          <w:lang w:val="ru-RU"/>
        </w:rPr>
        <w:t>дроу</w:t>
      </w:r>
      <w:proofErr w:type="spellEnd"/>
      <w:r>
        <w:rPr>
          <w:lang w:val="ru-RU"/>
        </w:rPr>
        <w:t xml:space="preserve"> и других злых существ.</w:t>
      </w:r>
    </w:p>
    <w:p w14:paraId="453F2DC5" w14:textId="77777777" w:rsidR="00925ED6" w:rsidRPr="002D1B87" w:rsidRDefault="00DE0B69" w:rsidP="00925ED6">
      <w:pPr>
        <w:pStyle w:val="a0"/>
        <w:rPr>
          <w:lang w:val="ru-RU"/>
        </w:rPr>
      </w:pPr>
      <w:r>
        <w:rPr>
          <w:lang w:val="ru-RU"/>
        </w:rPr>
        <w:t xml:space="preserve"> Яды бывают четырёх видов.</w:t>
      </w:r>
    </w:p>
    <w:p w14:paraId="23CBC106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Контактный</w:t>
      </w:r>
      <w:r>
        <w:rPr>
          <w:lang w:val="ru-RU"/>
        </w:rPr>
        <w:t xml:space="preserve">. Контактный яд можно нанести на предмет, и он </w:t>
      </w:r>
      <w:r>
        <w:rPr>
          <w:lang w:val="ru-RU"/>
        </w:rPr>
        <w:t>остаётся действующим, пока его не коснутся или не смоют. Существо, коснувшееся контактного яда голой кожей, подвергается его воздействию.</w:t>
      </w:r>
    </w:p>
    <w:p w14:paraId="5AB8D094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Поглощаемый</w:t>
      </w:r>
      <w:r>
        <w:rPr>
          <w:lang w:val="ru-RU"/>
        </w:rPr>
        <w:t>. Существо должно проглотить полную дозу поглощаемого яда, чтобы подверг­нуться его воздействию. Эта доза м</w:t>
      </w:r>
      <w:r>
        <w:rPr>
          <w:lang w:val="ru-RU"/>
        </w:rPr>
        <w:t xml:space="preserve">ожет быть подмешана в еду или питьё. Вы можете решить, что частичная доза будет обладать ослабленным эффектом, например, позволит совершать спасбро­сок с преимуществом, или будет причинять только половину урона при провале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>.</w:t>
      </w:r>
    </w:p>
    <w:p w14:paraId="7F26AFF4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Вдыхаемый</w:t>
      </w:r>
      <w:r>
        <w:rPr>
          <w:lang w:val="ru-RU"/>
        </w:rPr>
        <w:t xml:space="preserve">. Эти яды — </w:t>
      </w:r>
      <w:r>
        <w:rPr>
          <w:lang w:val="ru-RU"/>
        </w:rPr>
        <w:t xml:space="preserve">порошки или </w:t>
      </w:r>
      <w:proofErr w:type="spellStart"/>
      <w:r>
        <w:rPr>
          <w:lang w:val="ru-RU"/>
        </w:rPr>
        <w:t>газы</w:t>
      </w:r>
      <w:proofErr w:type="spellEnd"/>
      <w:r>
        <w:rPr>
          <w:lang w:val="ru-RU"/>
        </w:rPr>
        <w:t>, подвергающие воздействию, когда их вдыхают. Выдувание порошка или выпускание газа подвергает действию яда существ, находящихся в 5­ футовом кубе. Получившееся в результате облако мгновенно исчезает. Задержка дыхание не спасает от вдыхаемы</w:t>
      </w:r>
      <w:r>
        <w:rPr>
          <w:lang w:val="ru-RU"/>
        </w:rPr>
        <w:t>х ядов, так как они действуют на носовые пазухи, слёзные каналы и другие части тела.</w:t>
      </w:r>
    </w:p>
    <w:p w14:paraId="0A391CF4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Оружейный</w:t>
      </w:r>
      <w:r>
        <w:rPr>
          <w:lang w:val="ru-RU"/>
        </w:rPr>
        <w:t>. Оружейный яд наносится на оружие, боеприпасы, компоненты ловушек и другие предметы, причиняющие колющий или рубящий урон, и остаётся активным, пока не попадёт в</w:t>
      </w:r>
      <w:r>
        <w:rPr>
          <w:lang w:val="ru-RU"/>
        </w:rPr>
        <w:t xml:space="preserve"> рану или не будет смыт. Существо, получившее колющий или рубящий урон от оружия или боеприпаса, покрытого оружейным ядом, подвергается его воздействию.</w:t>
      </w:r>
    </w:p>
    <w:p w14:paraId="4C18731D" w14:textId="77777777" w:rsidR="00925ED6" w:rsidRDefault="00DE0B69" w:rsidP="00925ED6">
      <w:pPr>
        <w:pStyle w:val="a0"/>
      </w:pPr>
      <w:r>
        <w:rPr>
          <w:b/>
          <w:lang w:val="ru-RU"/>
        </w:rPr>
        <w:t>Яды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63"/>
        <w:gridCol w:w="1690"/>
        <w:gridCol w:w="1528"/>
      </w:tblGrid>
      <w:tr w:rsidR="00563903" w14:paraId="01458FF4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04FB65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Предмет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2D460F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Тип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E5644C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Цена за дозу</w:t>
            </w:r>
          </w:p>
        </w:tc>
      </w:tr>
      <w:tr w:rsidR="00563903" w14:paraId="54AC4B6B" w14:textId="77777777" w:rsidTr="00364597">
        <w:tc>
          <w:tcPr>
            <w:tcW w:w="0" w:type="auto"/>
          </w:tcPr>
          <w:p w14:paraId="64B03D09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Кровь убийцы</w:t>
            </w:r>
          </w:p>
        </w:tc>
        <w:tc>
          <w:tcPr>
            <w:tcW w:w="0" w:type="auto"/>
          </w:tcPr>
          <w:p w14:paraId="5822615B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Поглощаемый</w:t>
            </w:r>
          </w:p>
        </w:tc>
        <w:tc>
          <w:tcPr>
            <w:tcW w:w="0" w:type="auto"/>
          </w:tcPr>
          <w:p w14:paraId="39FDB241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150 зм</w:t>
            </w:r>
          </w:p>
        </w:tc>
      </w:tr>
      <w:tr w:rsidR="00563903" w14:paraId="49610E38" w14:textId="77777777" w:rsidTr="00364597">
        <w:tc>
          <w:tcPr>
            <w:tcW w:w="0" w:type="auto"/>
          </w:tcPr>
          <w:p w14:paraId="70D61F9C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 xml:space="preserve">Дым </w:t>
            </w:r>
            <w:proofErr w:type="spellStart"/>
            <w:r>
              <w:rPr>
                <w:lang w:val="ru-RU"/>
              </w:rPr>
              <w:t>офура</w:t>
            </w:r>
            <w:proofErr w:type="spellEnd"/>
          </w:p>
        </w:tc>
        <w:tc>
          <w:tcPr>
            <w:tcW w:w="0" w:type="auto"/>
          </w:tcPr>
          <w:p w14:paraId="61879869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Вдыхаемый</w:t>
            </w:r>
          </w:p>
        </w:tc>
        <w:tc>
          <w:tcPr>
            <w:tcW w:w="0" w:type="auto"/>
          </w:tcPr>
          <w:p w14:paraId="29EECDFC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500 зм</w:t>
            </w:r>
          </w:p>
        </w:tc>
      </w:tr>
      <w:tr w:rsidR="00563903" w14:paraId="0BFDB74E" w14:textId="77777777" w:rsidTr="00364597">
        <w:tc>
          <w:tcPr>
            <w:tcW w:w="0" w:type="auto"/>
          </w:tcPr>
          <w:p w14:paraId="2B6B53BC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Слизь падальщика</w:t>
            </w:r>
          </w:p>
        </w:tc>
        <w:tc>
          <w:tcPr>
            <w:tcW w:w="0" w:type="auto"/>
          </w:tcPr>
          <w:p w14:paraId="4F782185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Контактный</w:t>
            </w:r>
          </w:p>
        </w:tc>
        <w:tc>
          <w:tcPr>
            <w:tcW w:w="0" w:type="auto"/>
          </w:tcPr>
          <w:p w14:paraId="4EAADD6E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200 зм</w:t>
            </w:r>
          </w:p>
        </w:tc>
      </w:tr>
      <w:tr w:rsidR="00563903" w14:paraId="64DA88B9" w14:textId="77777777" w:rsidTr="00364597">
        <w:tc>
          <w:tcPr>
            <w:tcW w:w="0" w:type="auto"/>
          </w:tcPr>
          <w:p w14:paraId="1F6DE5DB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 xml:space="preserve">Яд </w:t>
            </w:r>
            <w:proofErr w:type="spellStart"/>
            <w:r>
              <w:rPr>
                <w:lang w:val="ru-RU"/>
              </w:rPr>
              <w:t>дроу</w:t>
            </w:r>
            <w:proofErr w:type="spellEnd"/>
          </w:p>
        </w:tc>
        <w:tc>
          <w:tcPr>
            <w:tcW w:w="0" w:type="auto"/>
          </w:tcPr>
          <w:p w14:paraId="5617D714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Оружейный</w:t>
            </w:r>
          </w:p>
        </w:tc>
        <w:tc>
          <w:tcPr>
            <w:tcW w:w="0" w:type="auto"/>
          </w:tcPr>
          <w:p w14:paraId="6BA2EFE8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200 зм</w:t>
            </w:r>
          </w:p>
        </w:tc>
      </w:tr>
      <w:tr w:rsidR="00563903" w14:paraId="240FC3B9" w14:textId="77777777" w:rsidTr="00364597">
        <w:tc>
          <w:tcPr>
            <w:tcW w:w="0" w:type="auto"/>
          </w:tcPr>
          <w:p w14:paraId="2EBBFB59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Эссенция эфира</w:t>
            </w:r>
          </w:p>
        </w:tc>
        <w:tc>
          <w:tcPr>
            <w:tcW w:w="0" w:type="auto"/>
          </w:tcPr>
          <w:p w14:paraId="7CA64C83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Вдыхаемый</w:t>
            </w:r>
          </w:p>
        </w:tc>
        <w:tc>
          <w:tcPr>
            <w:tcW w:w="0" w:type="auto"/>
          </w:tcPr>
          <w:p w14:paraId="12D22CDD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300 зм</w:t>
            </w:r>
          </w:p>
        </w:tc>
      </w:tr>
      <w:tr w:rsidR="00563903" w14:paraId="56B4049A" w14:textId="77777777" w:rsidTr="00364597">
        <w:tc>
          <w:tcPr>
            <w:tcW w:w="0" w:type="auto"/>
          </w:tcPr>
          <w:p w14:paraId="0BD454D8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Злоба</w:t>
            </w:r>
          </w:p>
        </w:tc>
        <w:tc>
          <w:tcPr>
            <w:tcW w:w="0" w:type="auto"/>
          </w:tcPr>
          <w:p w14:paraId="6BC7A4A1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Вдыхаемый</w:t>
            </w:r>
          </w:p>
        </w:tc>
        <w:tc>
          <w:tcPr>
            <w:tcW w:w="0" w:type="auto"/>
          </w:tcPr>
          <w:p w14:paraId="65039D3C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250 зм</w:t>
            </w:r>
          </w:p>
        </w:tc>
      </w:tr>
      <w:tr w:rsidR="00563903" w14:paraId="640419E3" w14:textId="77777777" w:rsidTr="00364597">
        <w:tc>
          <w:tcPr>
            <w:tcW w:w="0" w:type="auto"/>
          </w:tcPr>
          <w:p w14:paraId="532160CF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Полуночные слезы</w:t>
            </w:r>
          </w:p>
        </w:tc>
        <w:tc>
          <w:tcPr>
            <w:tcW w:w="0" w:type="auto"/>
          </w:tcPr>
          <w:p w14:paraId="428BCF5F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Поглощаемый</w:t>
            </w:r>
          </w:p>
        </w:tc>
        <w:tc>
          <w:tcPr>
            <w:tcW w:w="0" w:type="auto"/>
          </w:tcPr>
          <w:p w14:paraId="089F581E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1500 зм</w:t>
            </w:r>
          </w:p>
        </w:tc>
      </w:tr>
      <w:tr w:rsidR="00563903" w14:paraId="3E8E71E5" w14:textId="77777777" w:rsidTr="00364597">
        <w:tc>
          <w:tcPr>
            <w:tcW w:w="0" w:type="auto"/>
          </w:tcPr>
          <w:p w14:paraId="0C621301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 xml:space="preserve">Масло </w:t>
            </w:r>
            <w:proofErr w:type="spellStart"/>
            <w:r>
              <w:rPr>
                <w:lang w:val="ru-RU"/>
              </w:rPr>
              <w:t>таггита</w:t>
            </w:r>
            <w:proofErr w:type="spellEnd"/>
          </w:p>
        </w:tc>
        <w:tc>
          <w:tcPr>
            <w:tcW w:w="0" w:type="auto"/>
          </w:tcPr>
          <w:p w14:paraId="297FB24E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Контактный</w:t>
            </w:r>
          </w:p>
        </w:tc>
        <w:tc>
          <w:tcPr>
            <w:tcW w:w="0" w:type="auto"/>
          </w:tcPr>
          <w:p w14:paraId="22E822DE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400 зм</w:t>
            </w:r>
          </w:p>
        </w:tc>
      </w:tr>
      <w:tr w:rsidR="00563903" w14:paraId="43F7CF26" w14:textId="77777777" w:rsidTr="00364597">
        <w:tc>
          <w:tcPr>
            <w:tcW w:w="0" w:type="auto"/>
          </w:tcPr>
          <w:p w14:paraId="79B43076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Бледная настойка</w:t>
            </w:r>
          </w:p>
        </w:tc>
        <w:tc>
          <w:tcPr>
            <w:tcW w:w="0" w:type="auto"/>
          </w:tcPr>
          <w:p w14:paraId="10B409A5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Поглощаемый</w:t>
            </w:r>
          </w:p>
        </w:tc>
        <w:tc>
          <w:tcPr>
            <w:tcW w:w="0" w:type="auto"/>
          </w:tcPr>
          <w:p w14:paraId="65E2AC45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250 зм</w:t>
            </w:r>
          </w:p>
        </w:tc>
      </w:tr>
      <w:tr w:rsidR="00563903" w14:paraId="6A3A47CF" w14:textId="77777777" w:rsidTr="00364597">
        <w:tc>
          <w:tcPr>
            <w:tcW w:w="0" w:type="auto"/>
          </w:tcPr>
          <w:p w14:paraId="14D2B6DB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Яд пурпурного червя</w:t>
            </w:r>
          </w:p>
        </w:tc>
        <w:tc>
          <w:tcPr>
            <w:tcW w:w="0" w:type="auto"/>
          </w:tcPr>
          <w:p w14:paraId="72BD9F0F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Оружейный</w:t>
            </w:r>
          </w:p>
        </w:tc>
        <w:tc>
          <w:tcPr>
            <w:tcW w:w="0" w:type="auto"/>
          </w:tcPr>
          <w:p w14:paraId="6F8C08CB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2000 зм</w:t>
            </w:r>
          </w:p>
        </w:tc>
      </w:tr>
      <w:tr w:rsidR="00563903" w14:paraId="631DA382" w14:textId="77777777" w:rsidTr="00364597">
        <w:tc>
          <w:tcPr>
            <w:tcW w:w="0" w:type="auto"/>
          </w:tcPr>
          <w:p w14:paraId="58E1B7F9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Змеиный яд</w:t>
            </w:r>
          </w:p>
        </w:tc>
        <w:tc>
          <w:tcPr>
            <w:tcW w:w="0" w:type="auto"/>
          </w:tcPr>
          <w:p w14:paraId="665BBB3F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Оружейный</w:t>
            </w:r>
          </w:p>
        </w:tc>
        <w:tc>
          <w:tcPr>
            <w:tcW w:w="0" w:type="auto"/>
          </w:tcPr>
          <w:p w14:paraId="682B6063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200 зм</w:t>
            </w:r>
          </w:p>
        </w:tc>
      </w:tr>
      <w:tr w:rsidR="00563903" w14:paraId="704FF0EC" w14:textId="77777777" w:rsidTr="00364597">
        <w:tc>
          <w:tcPr>
            <w:tcW w:w="0" w:type="auto"/>
          </w:tcPr>
          <w:p w14:paraId="0316A180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Ступор</w:t>
            </w:r>
          </w:p>
        </w:tc>
        <w:tc>
          <w:tcPr>
            <w:tcW w:w="0" w:type="auto"/>
          </w:tcPr>
          <w:p w14:paraId="163E54DD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Поглощаемый</w:t>
            </w:r>
          </w:p>
        </w:tc>
        <w:tc>
          <w:tcPr>
            <w:tcW w:w="0" w:type="auto"/>
          </w:tcPr>
          <w:p w14:paraId="704A5FF3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600 зм</w:t>
            </w:r>
          </w:p>
        </w:tc>
      </w:tr>
      <w:tr w:rsidR="00563903" w14:paraId="117B1A30" w14:textId="77777777" w:rsidTr="00364597">
        <w:tc>
          <w:tcPr>
            <w:tcW w:w="0" w:type="auto"/>
          </w:tcPr>
          <w:p w14:paraId="45DA937B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Сыворотка правды</w:t>
            </w:r>
          </w:p>
        </w:tc>
        <w:tc>
          <w:tcPr>
            <w:tcW w:w="0" w:type="auto"/>
          </w:tcPr>
          <w:p w14:paraId="6D58B85D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Поглощаемый</w:t>
            </w:r>
          </w:p>
        </w:tc>
        <w:tc>
          <w:tcPr>
            <w:tcW w:w="0" w:type="auto"/>
          </w:tcPr>
          <w:p w14:paraId="7FA5AA16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150 зм</w:t>
            </w:r>
          </w:p>
        </w:tc>
      </w:tr>
      <w:tr w:rsidR="00563903" w14:paraId="1F93EEC3" w14:textId="77777777" w:rsidTr="00364597">
        <w:tc>
          <w:tcPr>
            <w:tcW w:w="0" w:type="auto"/>
          </w:tcPr>
          <w:p w14:paraId="3AA85138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 xml:space="preserve">Яд </w:t>
            </w:r>
            <w:proofErr w:type="spellStart"/>
            <w:r>
              <w:rPr>
                <w:lang w:val="ru-RU"/>
              </w:rPr>
              <w:t>виверны</w:t>
            </w:r>
            <w:proofErr w:type="spellEnd"/>
          </w:p>
        </w:tc>
        <w:tc>
          <w:tcPr>
            <w:tcW w:w="0" w:type="auto"/>
          </w:tcPr>
          <w:p w14:paraId="6640AA82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Оружейный</w:t>
            </w:r>
          </w:p>
        </w:tc>
        <w:tc>
          <w:tcPr>
            <w:tcW w:w="0" w:type="auto"/>
          </w:tcPr>
          <w:p w14:paraId="59DA1CE9" w14:textId="77777777" w:rsidR="00925ED6" w:rsidRDefault="00DE0B69" w:rsidP="00364597">
            <w:pPr>
              <w:pStyle w:val="Compact"/>
            </w:pPr>
            <w:r>
              <w:rPr>
                <w:lang w:val="ru-RU"/>
              </w:rPr>
              <w:t>1200 зм</w:t>
            </w:r>
          </w:p>
        </w:tc>
      </w:tr>
    </w:tbl>
    <w:p w14:paraId="093B79B2" w14:textId="77777777" w:rsidR="00925ED6" w:rsidRDefault="00DE0B69" w:rsidP="00925ED6">
      <w:pPr>
        <w:pStyle w:val="4"/>
      </w:pPr>
      <w:bookmarkStart w:id="1" w:name="sample-poisons"/>
      <w:r>
        <w:rPr>
          <w:lang w:val="ru-RU"/>
        </w:rPr>
        <w:lastRenderedPageBreak/>
        <w:t>Примеры ядов</w:t>
      </w:r>
      <w:bookmarkEnd w:id="1"/>
    </w:p>
    <w:p w14:paraId="49B866BF" w14:textId="77777777" w:rsidR="00925ED6" w:rsidRPr="002D1B87" w:rsidRDefault="00DE0B69" w:rsidP="00925ED6">
      <w:pPr>
        <w:pStyle w:val="FirstParagraph"/>
        <w:rPr>
          <w:lang w:val="ru-RU"/>
        </w:rPr>
      </w:pPr>
      <w:r>
        <w:rPr>
          <w:lang w:val="ru-RU"/>
        </w:rPr>
        <w:t>У каждого яда свои деструктивные эффекты.</w:t>
      </w:r>
    </w:p>
    <w:p w14:paraId="424A995C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Кровь убийцы (</w:t>
      </w:r>
      <w:proofErr w:type="spellStart"/>
      <w:r>
        <w:rPr>
          <w:b/>
          <w:i/>
          <w:lang w:val="ru-RU"/>
        </w:rPr>
        <w:t>поглащаемый</w:t>
      </w:r>
      <w:proofErr w:type="spellEnd"/>
      <w:r>
        <w:rPr>
          <w:b/>
          <w:i/>
          <w:lang w:val="ru-RU"/>
        </w:rPr>
        <w:t>)</w:t>
      </w:r>
      <w:r>
        <w:rPr>
          <w:lang w:val="ru-RU"/>
        </w:rPr>
        <w:t xml:space="preserve">. Существо, </w:t>
      </w:r>
      <w:r>
        <w:rPr>
          <w:lang w:val="ru-RU"/>
        </w:rPr>
        <w:t>подвергшееся действию этого яда, должно со­вершить спасбросок Телосложения со УС 10. При провале оно получает урон ядом 6 (1к12) и стано­вится отравленным на 24 часа. При успехе суще­ство получает половину урона и не становится отравленным.</w:t>
      </w:r>
    </w:p>
    <w:p w14:paraId="42EA2E72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 xml:space="preserve">Дым </w:t>
      </w:r>
      <w:proofErr w:type="spellStart"/>
      <w:r>
        <w:rPr>
          <w:b/>
          <w:i/>
          <w:lang w:val="ru-RU"/>
        </w:rPr>
        <w:t>офура</w:t>
      </w:r>
      <w:proofErr w:type="spellEnd"/>
      <w:r>
        <w:rPr>
          <w:b/>
          <w:i/>
          <w:lang w:val="ru-RU"/>
        </w:rPr>
        <w:t xml:space="preserve"> (Вдых</w:t>
      </w:r>
      <w:r>
        <w:rPr>
          <w:b/>
          <w:i/>
          <w:lang w:val="ru-RU"/>
        </w:rPr>
        <w:t>аемый)</w:t>
      </w:r>
      <w:r>
        <w:rPr>
          <w:lang w:val="ru-RU"/>
        </w:rPr>
        <w:t>. Существо, подвергшееся действию этого яда, должно пре­успеть в спасброске Телосложения со УС 13, ина­че оно получит урон ядом 10 (3к6) и будет долж­но повторять этот спасбросок в начале каждого своего хода.  При каждом провале персонаж по­лучит уро</w:t>
      </w:r>
      <w:r>
        <w:rPr>
          <w:lang w:val="ru-RU"/>
        </w:rPr>
        <w:t>н ядом 3 (1к6). После трёх успехов яд прекратит своё действие.</w:t>
      </w:r>
    </w:p>
    <w:p w14:paraId="2D04A4F4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Слизь падальщика (Контактный)</w:t>
      </w:r>
      <w:r>
        <w:rPr>
          <w:lang w:val="ru-RU"/>
        </w:rPr>
        <w:t>. Этот яд собирают с мёртвого или недееспособ­ного падальщика. Существо, под­вергшееся действию этого яда, должно пре­успеть в спасброске Телосложения со УС 13, ина</w:t>
      </w:r>
      <w:r>
        <w:rPr>
          <w:lang w:val="ru-RU"/>
        </w:rPr>
        <w:t>­че оно станет отравленным на 1 минуту. Будучи отравленным, существо также парализовано. Существо может повторять спасбросок в конце каждого своего хода, оканчивая эффект на себе при успехе.</w:t>
      </w:r>
    </w:p>
    <w:p w14:paraId="263900CE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 xml:space="preserve">Яд </w:t>
      </w:r>
      <w:proofErr w:type="spellStart"/>
      <w:r>
        <w:rPr>
          <w:b/>
          <w:i/>
          <w:lang w:val="ru-RU"/>
        </w:rPr>
        <w:t>Дроу</w:t>
      </w:r>
      <w:proofErr w:type="spellEnd"/>
      <w:r>
        <w:rPr>
          <w:b/>
          <w:i/>
          <w:lang w:val="ru-RU"/>
        </w:rPr>
        <w:t xml:space="preserve"> (Оружейный)</w:t>
      </w:r>
      <w:r>
        <w:rPr>
          <w:lang w:val="ru-RU"/>
        </w:rPr>
        <w:t xml:space="preserve">. Обычно этот яд изго­тавливают только </w:t>
      </w:r>
      <w:proofErr w:type="spellStart"/>
      <w:r>
        <w:rPr>
          <w:lang w:val="ru-RU"/>
        </w:rPr>
        <w:t>дроу</w:t>
      </w:r>
      <w:proofErr w:type="spellEnd"/>
      <w:r>
        <w:rPr>
          <w:lang w:val="ru-RU"/>
        </w:rPr>
        <w:t>, к</w:t>
      </w:r>
      <w:r>
        <w:rPr>
          <w:lang w:val="ru-RU"/>
        </w:rPr>
        <w:t xml:space="preserve"> тому же в местах, где нет солнечного света. Существо, подвергшееся действию этого яда, должно преуспеть в спа­сброске Телосложения со УС 13, иначе оно станет отравленным на 1 час. Если спасбросок провален на 5 или больше единиц, существо также лише­но соз</w:t>
      </w:r>
      <w:r>
        <w:rPr>
          <w:lang w:val="ru-RU"/>
        </w:rPr>
        <w:t>нания, пока отравлено. Существо приходит в сознание, если получает урон или другое суще­ство действием его потрясёт, чтобы разбудить.</w:t>
      </w:r>
    </w:p>
    <w:p w14:paraId="73E0A258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Эссенция эфира (Вдыхаемый)</w:t>
      </w:r>
      <w:r>
        <w:rPr>
          <w:lang w:val="ru-RU"/>
        </w:rPr>
        <w:t>. Существо, подвергшееся действию этого яда, должно пре­успеть в спасброске Телосложения со УС 1</w:t>
      </w:r>
      <w:r>
        <w:rPr>
          <w:lang w:val="ru-RU"/>
        </w:rPr>
        <w:t>5, ина­че оно станет отравленным на 8 часов. Суще­ство также лишено сознания, пока отравлено. Существо приходит в сознание, если получает урон или другое суще­ство действием его потрясёт, чтобы разбудить.</w:t>
      </w:r>
    </w:p>
    <w:p w14:paraId="0BC0FD10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Злоба (</w:t>
      </w:r>
      <w:proofErr w:type="spellStart"/>
      <w:r>
        <w:rPr>
          <w:b/>
          <w:i/>
          <w:lang w:val="ru-RU"/>
        </w:rPr>
        <w:t>Вдыхамый</w:t>
      </w:r>
      <w:proofErr w:type="spellEnd"/>
      <w:r>
        <w:rPr>
          <w:b/>
          <w:i/>
          <w:lang w:val="ru-RU"/>
        </w:rPr>
        <w:t>)</w:t>
      </w:r>
      <w:r>
        <w:rPr>
          <w:lang w:val="ru-RU"/>
        </w:rPr>
        <w:t>. Существо, подвергшееся действию э</w:t>
      </w:r>
      <w:r>
        <w:rPr>
          <w:lang w:val="ru-RU"/>
        </w:rPr>
        <w:t>того яда, должно пре­успеть в спасброске Телосложения со УС 15, ина­че оно станет отравленным на 1 час. Существо ослеплено, пока отравлено.</w:t>
      </w:r>
    </w:p>
    <w:p w14:paraId="05B9024B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Полуночные Слезы (Поглощаемый)</w:t>
      </w:r>
      <w:r>
        <w:rPr>
          <w:lang w:val="ru-RU"/>
        </w:rPr>
        <w:t>. Существо, проглотившее этот яд, не испытывает никакого эффекта до наступления полуно</w:t>
      </w:r>
      <w:r>
        <w:rPr>
          <w:lang w:val="ru-RU"/>
        </w:rPr>
        <w:t>чи. Если до этого момента яд не был нейтрализован, существо должно преуспеть в спасброске Телосложения со УС 17, получая урон ядом 31 (9к6) при провале или половину этого урона при успехе.</w:t>
      </w:r>
    </w:p>
    <w:p w14:paraId="2599A28E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 xml:space="preserve">Масло </w:t>
      </w:r>
      <w:proofErr w:type="spellStart"/>
      <w:r>
        <w:rPr>
          <w:b/>
          <w:i/>
          <w:lang w:val="ru-RU"/>
        </w:rPr>
        <w:t>таггита</w:t>
      </w:r>
      <w:proofErr w:type="spellEnd"/>
      <w:r>
        <w:rPr>
          <w:b/>
          <w:i/>
          <w:lang w:val="ru-RU"/>
        </w:rPr>
        <w:t xml:space="preserve"> (Контактный)</w:t>
      </w:r>
      <w:r>
        <w:rPr>
          <w:lang w:val="ru-RU"/>
        </w:rPr>
        <w:t xml:space="preserve">. Существо, под­вергшееся действию этого </w:t>
      </w:r>
      <w:r>
        <w:rPr>
          <w:lang w:val="ru-RU"/>
        </w:rPr>
        <w:t>яда, должно пре­успеть в спасброске Телосложения со УС 13, ина­че оно станет отравленным на 24 часа. Суще­ство также лишено сознания, пока отравлено. Суще­ство приходит в сознание, если получает урон.</w:t>
      </w:r>
    </w:p>
    <w:p w14:paraId="11FDFAFB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Бледная Настойка (Поглощаемый)</w:t>
      </w:r>
      <w:r>
        <w:rPr>
          <w:lang w:val="ru-RU"/>
        </w:rPr>
        <w:t xml:space="preserve">. Существо, подвергшееся </w:t>
      </w:r>
      <w:r>
        <w:rPr>
          <w:lang w:val="ru-RU"/>
        </w:rPr>
        <w:t xml:space="preserve">действию этого яда, должно пре­успеть в спасброске Телосложения со </w:t>
      </w:r>
      <w:proofErr w:type="spellStart"/>
      <w:r>
        <w:rPr>
          <w:lang w:val="ru-RU"/>
        </w:rPr>
        <w:t>Сл</w:t>
      </w:r>
      <w:proofErr w:type="spellEnd"/>
      <w:r>
        <w:rPr>
          <w:lang w:val="ru-RU"/>
        </w:rPr>
        <w:t xml:space="preserve"> 16, ина­че получит урон ядом 3 (1к6) и станет отравлен­ным. Отравленное существо должно повторять спасбросок каждые 24 часа, получая урон ядом 3 (1к6) при провале. Пока яд действует, уро</w:t>
      </w:r>
      <w:r>
        <w:rPr>
          <w:lang w:val="ru-RU"/>
        </w:rPr>
        <w:t xml:space="preserve">н, при­чинённый им, ничем не может быть вылечен. После семи успешных </w:t>
      </w:r>
      <w:proofErr w:type="spellStart"/>
      <w:r>
        <w:rPr>
          <w:lang w:val="ru-RU"/>
        </w:rPr>
        <w:t>спасбросков</w:t>
      </w:r>
      <w:proofErr w:type="spellEnd"/>
      <w:r>
        <w:rPr>
          <w:lang w:val="ru-RU"/>
        </w:rPr>
        <w:t xml:space="preserve"> эффект оканчивается, и существо может лечиться как обычно.</w:t>
      </w:r>
    </w:p>
    <w:p w14:paraId="5792170B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Яд пурпурного червя (Оружейный)</w:t>
      </w:r>
      <w:r>
        <w:rPr>
          <w:lang w:val="ru-RU"/>
        </w:rPr>
        <w:t>. Этот яд должен быть извлечен из мертвого или недееспособного пурпурного червя.  Сущ</w:t>
      </w:r>
      <w:r>
        <w:rPr>
          <w:lang w:val="ru-RU"/>
        </w:rPr>
        <w:t>ество, подвергшееся действию этого яда, должно совершить спасбросок Телосложения со УС 19, получая при провале урон ядом 42 (12к6), или половину этого урона при успехе.</w:t>
      </w:r>
    </w:p>
    <w:p w14:paraId="1A8AF31D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Змеиный Яд (Оружейный)</w:t>
      </w:r>
      <w:r>
        <w:rPr>
          <w:lang w:val="ru-RU"/>
        </w:rPr>
        <w:t>. Этот яд собирают с мёртвой или недееспособной гигантской ядови­</w:t>
      </w:r>
      <w:r>
        <w:rPr>
          <w:lang w:val="ru-RU"/>
        </w:rPr>
        <w:t>той змеи.  Существо, подвергшееся действию это­го яда, должно преуспеть в спасброске Телосло­жения со КМ 11, получая урон ядом 10 (3к6) при провале, или половину этого урона при успехе.</w:t>
      </w:r>
    </w:p>
    <w:p w14:paraId="5F9D6B83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Ступор (Поглощаемый)</w:t>
      </w:r>
      <w:r>
        <w:rPr>
          <w:lang w:val="ru-RU"/>
        </w:rPr>
        <w:t>. Существо, подверг­шееся действию этого яда, долж</w:t>
      </w:r>
      <w:r>
        <w:rPr>
          <w:lang w:val="ru-RU"/>
        </w:rPr>
        <w:t>но преуспеть в спасброске Телосложения со УС 15, иначе оно станет отравленным на 4к6 часов.  Существо также недееспособно, пока отравлено.</w:t>
      </w:r>
    </w:p>
    <w:p w14:paraId="35326179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>Сыворотка правды (Поглощаемый)</w:t>
      </w:r>
      <w:r>
        <w:rPr>
          <w:lang w:val="ru-RU"/>
        </w:rPr>
        <w:t xml:space="preserve">. Существо, подвергшееся действию этого яда, должно пре­успеть в спасброске Телосложения со УС 11, ина­че станет отравленным на 1 час. Пока существо отравлено, оно не может сознательно говорить ложь, как если бы оно находилось под действи­ем заклинания </w:t>
      </w:r>
      <w:r>
        <w:rPr>
          <w:i/>
          <w:lang w:val="ru-RU"/>
        </w:rPr>
        <w:t>обл</w:t>
      </w:r>
      <w:r>
        <w:rPr>
          <w:i/>
          <w:lang w:val="ru-RU"/>
        </w:rPr>
        <w:t>асть истины</w:t>
      </w:r>
      <w:r>
        <w:rPr>
          <w:lang w:val="ru-RU"/>
        </w:rPr>
        <w:t>.</w:t>
      </w:r>
    </w:p>
    <w:p w14:paraId="68D23379" w14:textId="77777777" w:rsidR="00925ED6" w:rsidRPr="002D1B87" w:rsidRDefault="00DE0B69" w:rsidP="00925ED6">
      <w:pPr>
        <w:pStyle w:val="a0"/>
        <w:rPr>
          <w:lang w:val="ru-RU"/>
        </w:rPr>
      </w:pPr>
      <w:r>
        <w:rPr>
          <w:b/>
          <w:i/>
          <w:lang w:val="ru-RU"/>
        </w:rPr>
        <w:t xml:space="preserve">Яд </w:t>
      </w:r>
      <w:proofErr w:type="spellStart"/>
      <w:r>
        <w:rPr>
          <w:b/>
          <w:i/>
          <w:lang w:val="ru-RU"/>
        </w:rPr>
        <w:t>Виверны</w:t>
      </w:r>
      <w:proofErr w:type="spellEnd"/>
      <w:r>
        <w:rPr>
          <w:b/>
          <w:i/>
          <w:lang w:val="ru-RU"/>
        </w:rPr>
        <w:t xml:space="preserve"> (Оружейный)</w:t>
      </w:r>
      <w:r>
        <w:rPr>
          <w:lang w:val="ru-RU"/>
        </w:rPr>
        <w:t xml:space="preserve">. Этот яд должен быть собран из мертвой или недееспособной </w:t>
      </w:r>
      <w:proofErr w:type="spellStart"/>
      <w:r>
        <w:rPr>
          <w:lang w:val="ru-RU"/>
        </w:rPr>
        <w:t>виверны</w:t>
      </w:r>
      <w:proofErr w:type="spellEnd"/>
      <w:r>
        <w:rPr>
          <w:lang w:val="ru-RU"/>
        </w:rPr>
        <w:t>.  Суще­ство, подвергшееся действию этого яда, должно совершить спасбросок Телосложения со УС 15, получая при провале урон ядом 24 (7к6) или по­ловину этог</w:t>
      </w:r>
      <w:r>
        <w:rPr>
          <w:lang w:val="ru-RU"/>
        </w:rPr>
        <w:t>о урона при успехе.</w:t>
      </w:r>
    </w:p>
    <w:p w14:paraId="42ED36A9" w14:textId="77777777" w:rsidR="00250127" w:rsidRPr="002D1B87" w:rsidRDefault="00250127">
      <w:pPr>
        <w:rPr>
          <w:lang w:val="ru-RU"/>
        </w:rPr>
      </w:pPr>
    </w:p>
    <w:sectPr w:rsidR="00250127" w:rsidRPr="002D1B8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AB8E" w14:textId="77777777" w:rsidR="00DE0B69" w:rsidRDefault="00DE0B69" w:rsidP="002D1B87">
      <w:pPr>
        <w:spacing w:after="0"/>
      </w:pPr>
      <w:r>
        <w:separator/>
      </w:r>
    </w:p>
  </w:endnote>
  <w:endnote w:type="continuationSeparator" w:id="0">
    <w:p w14:paraId="103EAAC6" w14:textId="77777777" w:rsidR="00DE0B69" w:rsidRDefault="00DE0B69" w:rsidP="002D1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24440" w14:textId="77777777" w:rsidR="00DE0B69" w:rsidRDefault="00DE0B69" w:rsidP="002D1B87">
      <w:pPr>
        <w:spacing w:after="0"/>
      </w:pPr>
      <w:r>
        <w:separator/>
      </w:r>
    </w:p>
  </w:footnote>
  <w:footnote w:type="continuationSeparator" w:id="0">
    <w:p w14:paraId="05574E8C" w14:textId="77777777" w:rsidR="00DE0B69" w:rsidRDefault="00DE0B69" w:rsidP="002D1B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DBFC" w14:textId="6992CE52" w:rsidR="002D1B87" w:rsidRPr="002D1B87" w:rsidRDefault="002D1B87" w:rsidP="002D1B87">
    <w:pPr>
      <w:pStyle w:val="a5"/>
      <w:pBdr>
        <w:bottom w:val="double" w:sz="12" w:space="1" w:color="C00000"/>
      </w:pBdr>
      <w:rPr>
        <w:lang w:val="ru-RU"/>
      </w:rPr>
    </w:pPr>
    <w:proofErr w:type="spellStart"/>
    <w:r>
      <w:rPr>
        <w:rFonts w:ascii="Philosopher" w:hAnsi="Philosopher"/>
        <w:b/>
        <w:bCs/>
        <w:sz w:val="28"/>
        <w:szCs w:val="28"/>
        <w:lang w:val="uk-UA"/>
      </w:rPr>
      <w:t>Яд</w:t>
    </w:r>
    <w:proofErr w:type="spellEnd"/>
    <w:r>
      <w:rPr>
        <w:rFonts w:ascii="Philosopher" w:hAnsi="Philosopher"/>
        <w:b/>
        <w:bCs/>
        <w:sz w:val="28"/>
        <w:szCs w:val="28"/>
        <w:lang w:val="ru-RU"/>
      </w:rPr>
      <w:t>ы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D6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1B8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4597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903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5ED6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0B69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49DF"/>
  <w15:chartTrackingRefBased/>
  <w15:docId w15:val="{2C1E3FC2-DDD0-457D-B6AE-300639CB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ED6"/>
    <w:pPr>
      <w:spacing w:after="200"/>
    </w:pPr>
    <w:rPr>
      <w:rFonts w:cstheme="minorBidi"/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925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925E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925ED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925ED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925ED6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925ED6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925ED6"/>
  </w:style>
  <w:style w:type="paragraph" w:customStyle="1" w:styleId="Compact">
    <w:name w:val="Compact"/>
    <w:basedOn w:val="a0"/>
    <w:qFormat/>
    <w:rsid w:val="00925ED6"/>
    <w:pPr>
      <w:spacing w:before="36" w:after="36"/>
    </w:pPr>
  </w:style>
  <w:style w:type="table" w:customStyle="1" w:styleId="Table">
    <w:name w:val="Table"/>
    <w:semiHidden/>
    <w:unhideWhenUsed/>
    <w:qFormat/>
    <w:rsid w:val="00925ED6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D1B87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2D1B87"/>
    <w:rPr>
      <w:rFonts w:cstheme="minorBidi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2D1B8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2D1B87"/>
    <w:rPr>
      <w:rFonts w:cstheme="minorBidi"/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2D1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2020-07-29T14:06:00Z</dcterms:created>
  <dcterms:modified xsi:type="dcterms:W3CDTF">2020-09-11T13:42:00Z</dcterms:modified>
</cp:coreProperties>
</file>