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B365D"/>
          <w:sz w:val="48"/>
        </w:rPr>
        <w:t>CitiVoice High-Concurrency Technical Architecture</w:t>
      </w:r>
    </w:p>
    <w:p>
      <w:pPr>
        <w:spacing w:after="400"/>
        <w:jc w:val="center"/>
      </w:pPr>
      <w:r>
        <w:rPr>
          <w:rFonts w:ascii="Calibri" w:hAnsi="Calibri"/>
          <w:i/>
          <w:color w:val="2980B9"/>
          <w:sz w:val="24"/>
        </w:rPr>
        <w:t>System Behavior, Stress Analysis, and Scalability Solutions for Simultaneous Concern Submissions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after="40"/>
            </w:pPr>
            <w:r>
              <w:rPr>
                <w:rFonts w:ascii="Calibri" w:hAnsi="Calibri"/>
                <w:b/>
                <w:color w:val="1B365D"/>
                <w:sz w:val="20"/>
              </w:rPr>
              <w:t>■ EXECUTIVE SUMMARY</w:t>
              <w:br/>
            </w:r>
            <w:r>
              <w:rPr>
                <w:rFonts w:ascii="Calibri" w:hAnsi="Calibri"/>
                <w:i/>
                <w:color w:val="2C3E50"/>
                <w:sz w:val="21"/>
              </w:rPr>
              <w:t>When thousands of citizens report issues simultaneously (e.g. during a typhooon, flood, or citywide emergency), synchronous monolithic APIs experience cascade failures across database pools, memory, and AI rate limits. Scaling requires shifting to an asynchronous event-driven queue architecture with decoupled background workers.</w:t>
            </w:r>
          </w:p>
        </w:tc>
      </w:tr>
    </w:tbl>
    <w:p>
      <w:pPr>
        <w:spacing w:after="120"/>
      </w:pPr>
    </w:p>
    <w:p>
      <w:pPr>
        <w:keepNext/>
        <w:spacing w:before="360" w:after="120"/>
      </w:pPr>
      <w:r>
        <w:rPr>
          <w:rFonts w:ascii="Calibri" w:hAnsi="Calibri"/>
          <w:b/>
          <w:color w:val="1B365D"/>
          <w:sz w:val="32"/>
        </w:rPr>
        <w:t>1. Context &amp; The Challenge</w:t>
      </w:r>
    </w:p>
    <w:p>
      <w:pPr>
        <w:spacing w:after="120" w:line="276" w:lineRule="auto"/>
      </w:pPr>
      <w:r>
        <w:rPr>
          <w:rFonts w:ascii="Calibri" w:hAnsi="Calibri"/>
          <w:color w:val="2C3E50"/>
          <w:sz w:val="22"/>
        </w:rPr>
        <w:t>In a smart city application like CitiVoice, user activity is typically distributed throughout the day. However, during major civic disruptions—such as typhoons, earthquakes, sudden flooding, power grid blackouts, or major road accidents—traffic does not increase gradually; it spikes instantaneously by 1,000% to 10,000%. Thousands of citizens simultaneously capture photos, type descriptions, pinpoint GPS coordinates, and press 'Submit Concern'.</w:t>
      </w:r>
    </w:p>
    <w:p>
      <w:pPr>
        <w:spacing w:after="120" w:line="276" w:lineRule="auto"/>
      </w:pPr>
      <w:r>
        <w:rPr>
          <w:rFonts w:ascii="Calibri" w:hAnsi="Calibri"/>
          <w:color w:val="2C3E50"/>
          <w:sz w:val="22"/>
        </w:rPr>
        <w:t>A robust civic platform must guarantee two fundamental service level objectives (SLOs):</w:t>
      </w:r>
    </w:p>
    <w:p>
      <w:pPr>
        <w:pStyle w:val="ListBullet"/>
        <w:spacing w:after="80" w:line="276" w:lineRule="auto"/>
      </w:pPr>
      <w:r>
        <w:rPr>
          <w:rFonts w:ascii="Calibri" w:hAnsi="Calibri"/>
          <w:b/>
          <w:color w:val="2C3E50"/>
          <w:sz w:val="22"/>
        </w:rPr>
        <w:t xml:space="preserve">1. Guaranteed Ingestion: </w:t>
      </w:r>
      <w:r>
        <w:rPr>
          <w:rFonts w:ascii="Calibri" w:hAnsi="Calibri"/>
          <w:color w:val="2C3E50"/>
          <w:sz w:val="22"/>
        </w:rPr>
        <w:t xml:space="preserve"> The citizen's report must never be lost, dropped, or silently fail.</w:t>
      </w:r>
    </w:p>
    <w:p>
      <w:pPr>
        <w:pStyle w:val="ListBullet"/>
        <w:spacing w:after="80" w:line="276" w:lineRule="auto"/>
      </w:pPr>
      <w:r>
        <w:rPr>
          <w:rFonts w:ascii="Calibri" w:hAnsi="Calibri"/>
          <w:b/>
          <w:color w:val="2C3E50"/>
          <w:sz w:val="22"/>
        </w:rPr>
        <w:t xml:space="preserve">2. Responsive Client Experience: </w:t>
      </w:r>
      <w:r>
        <w:rPr>
          <w:rFonts w:ascii="Calibri" w:hAnsi="Calibri"/>
          <w:color w:val="2C3E50"/>
          <w:sz w:val="22"/>
        </w:rPr>
        <w:t xml:space="preserve"> The mobile client must receive prompt confirmation without spinning or crashing.</w:t>
      </w:r>
    </w:p>
    <w:p>
      <w:pPr>
        <w:keepNext/>
        <w:spacing w:before="360" w:after="120"/>
      </w:pPr>
      <w:r>
        <w:rPr>
          <w:rFonts w:ascii="Calibri" w:hAnsi="Calibri"/>
          <w:b/>
          <w:color w:val="1B365D"/>
          <w:sz w:val="32"/>
        </w:rPr>
        <w:t>2. Current CitiVoice Architecture &amp; Bottleneck Analysis</w:t>
      </w:r>
    </w:p>
    <w:p>
      <w:pPr>
        <w:spacing w:after="120" w:line="276" w:lineRule="auto"/>
      </w:pPr>
      <w:r>
        <w:rPr>
          <w:rFonts w:ascii="Calibri" w:hAnsi="Calibri"/>
          <w:color w:val="2C3E50"/>
          <w:sz w:val="22"/>
        </w:rPr>
        <w:t>Analysis of the CitiVoice codebase reveals a traditional monolithic Express.js + MySQL stack where every concern submission is processed synchronously:</w:t>
      </w:r>
    </w:p>
    <w:p>
      <w:pPr>
        <w:keepNext/>
        <w:spacing w:before="240" w:after="80"/>
      </w:pPr>
      <w:r>
        <w:rPr>
          <w:rFonts w:ascii="Calibri" w:hAnsi="Calibri"/>
          <w:b/>
          <w:color w:val="2980B9"/>
          <w:sz w:val="26"/>
        </w:rPr>
        <w:t>A. Database Connection Starvation (db.js)</w:t>
      </w:r>
    </w:p>
    <w:p>
      <w:pPr>
        <w:spacing w:after="120" w:line="276" w:lineRule="auto"/>
      </w:pPr>
      <w:r>
        <w:rPr>
          <w:rFonts w:ascii="Calibri" w:hAnsi="Calibri"/>
          <w:color w:val="2C3E50"/>
          <w:sz w:val="22"/>
        </w:rPr>
        <w:t>The MySQL connection pool in db.js is configured with connectionLimit: 10. When 2,000 citizens submit reports in the same minute:</w:t>
      </w:r>
    </w:p>
    <w:p>
      <w:pPr>
        <w:pStyle w:val="ListBullet"/>
        <w:spacing w:after="80" w:line="276" w:lineRule="auto"/>
      </w:pPr>
      <w:r>
        <w:rPr>
          <w:rFonts w:ascii="Calibri" w:hAnsi="Calibri"/>
          <w:b/>
          <w:color w:val="2C3E50"/>
          <w:sz w:val="22"/>
        </w:rPr>
        <w:t xml:space="preserve">Pool Cap: </w:t>
      </w:r>
      <w:r>
        <w:rPr>
          <w:rFonts w:ascii="Calibri" w:hAnsi="Calibri"/>
          <w:color w:val="2C3E50"/>
          <w:sz w:val="22"/>
        </w:rPr>
        <w:t>Only 10 queries execute concurrently at any given fraction of a second.</w:t>
      </w:r>
    </w:p>
    <w:p>
      <w:pPr>
        <w:pStyle w:val="ListBullet"/>
        <w:spacing w:after="80" w:line="276" w:lineRule="auto"/>
      </w:pPr>
      <w:r>
        <w:rPr>
          <w:rFonts w:ascii="Calibri" w:hAnsi="Calibri"/>
          <w:b/>
          <w:color w:val="2C3E50"/>
          <w:sz w:val="22"/>
        </w:rPr>
        <w:t xml:space="preserve">Queue Saturation: </w:t>
      </w:r>
      <w:r>
        <w:rPr>
          <w:rFonts w:ascii="Calibri" w:hAnsi="Calibri"/>
          <w:color w:val="2C3E50"/>
          <w:sz w:val="22"/>
        </w:rPr>
        <w:t>1,990 HTTP requests wait in Node.js event queue memory for an available pool slot.</w:t>
      </w:r>
    </w:p>
    <w:p>
      <w:pPr>
        <w:pStyle w:val="ListBullet"/>
        <w:spacing w:after="80" w:line="276" w:lineRule="auto"/>
      </w:pPr>
      <w:r>
        <w:rPr>
          <w:rFonts w:ascii="Calibri" w:hAnsi="Calibri"/>
          <w:b/>
          <w:color w:val="2C3E50"/>
          <w:sz w:val="22"/>
        </w:rPr>
        <w:t xml:space="preserve">Connection Drops: </w:t>
      </w:r>
      <w:r>
        <w:rPr>
          <w:rFonts w:ascii="Calibri" w:hAnsi="Calibri"/>
          <w:color w:val="2C3E50"/>
          <w:sz w:val="22"/>
        </w:rPr>
        <w:t>HTTP connections begin timing out at 30 to 60 seconds (Client Connection Timeout / 504 Gateway Timeout), even though the database server itself has not crashed.</w:t>
      </w:r>
    </w:p>
    <w:p>
      <w:pPr>
        <w:keepNext/>
        <w:spacing w:before="240" w:after="80"/>
      </w:pPr>
      <w:r>
        <w:rPr>
          <w:rFonts w:ascii="Calibri" w:hAnsi="Calibri"/>
          <w:b/>
          <w:color w:val="2980B9"/>
          <w:sz w:val="26"/>
        </w:rPr>
        <w:t>B. Synchronous External AI Invocation (concerns.controller.js)</w:t>
      </w:r>
    </w:p>
    <w:p>
      <w:pPr>
        <w:spacing w:after="120" w:line="276" w:lineRule="auto"/>
      </w:pPr>
      <w:r>
        <w:rPr>
          <w:rFonts w:ascii="Calibri" w:hAnsi="Calibri"/>
          <w:color w:val="2C3E50"/>
          <w:sz w:val="22"/>
        </w:rPr>
        <w:t>Inside createConcern, the server synchronously awaits analyzeFullConcern() (powered by Groq / Gemini LLM and Vision models). This presents two severe limitations:</w:t>
      </w:r>
    </w:p>
    <w:p>
      <w:pPr>
        <w:pStyle w:val="ListBullet"/>
        <w:spacing w:after="80" w:line="276" w:lineRule="auto"/>
      </w:pPr>
      <w:r>
        <w:rPr>
          <w:rFonts w:ascii="Calibri" w:hAnsi="Calibri"/>
          <w:b/>
          <w:color w:val="2C3E50"/>
          <w:sz w:val="22"/>
        </w:rPr>
        <w:t xml:space="preserve">Third-Party Rate Limits: </w:t>
      </w:r>
      <w:r>
        <w:rPr>
          <w:rFonts w:ascii="Calibri" w:hAnsi="Calibri"/>
          <w:color w:val="2C3E50"/>
          <w:sz w:val="22"/>
        </w:rPr>
        <w:t>Standard and free AI API tiers enforce rate limits (typically 30–60 requests per minute). Hundreds of concurrent calls immediately receive HTTP 429 'Too Many Requests'.</w:t>
      </w:r>
    </w:p>
    <w:p>
      <w:pPr>
        <w:pStyle w:val="ListBullet"/>
        <w:spacing w:after="80" w:line="276" w:lineRule="auto"/>
      </w:pPr>
      <w:r>
        <w:rPr>
          <w:rFonts w:ascii="Calibri" w:hAnsi="Calibri"/>
          <w:b/>
          <w:color w:val="2C3E50"/>
          <w:sz w:val="22"/>
        </w:rPr>
        <w:t xml:space="preserve">Extended Socket Hold: </w:t>
      </w:r>
      <w:r>
        <w:rPr>
          <w:rFonts w:ascii="Calibri" w:hAnsi="Calibri"/>
          <w:color w:val="2C3E50"/>
          <w:sz w:val="22"/>
        </w:rPr>
        <w:t>Each HTTP request remains open for 2 to 5 seconds while waiting for the LLM inference response. Holding thousands of open TCP sockets exhausts server file descriptors.</w:t>
      </w:r>
    </w:p>
    <w:p>
      <w:pPr>
        <w:keepNext/>
        <w:spacing w:before="240" w:after="80"/>
      </w:pPr>
      <w:r>
        <w:rPr>
          <w:rFonts w:ascii="Calibri" w:hAnsi="Calibri"/>
          <w:b/>
          <w:color w:val="2980B9"/>
          <w:sz w:val="26"/>
        </w:rPr>
        <w:t>C. In-Memory Duplicate Detection Heap Spikes</w:t>
      </w:r>
    </w:p>
    <w:p>
      <w:pPr>
        <w:spacing w:after="120" w:line="276" w:lineRule="auto"/>
      </w:pPr>
      <w:r>
        <w:rPr>
          <w:rFonts w:ascii="Calibri" w:hAnsi="Calibri"/>
          <w:color w:val="2C3E50"/>
          <w:sz w:val="22"/>
        </w:rPr>
        <w:t>Immediately after insertion, setImmediate triggers duplicate detection by running selectAllConcerns(). When 1,000 requests complete near-simultaneously:</w:t>
      </w:r>
    </w:p>
    <w:p>
      <w:pPr>
        <w:pStyle w:val="ListBullet"/>
        <w:spacing w:after="80" w:line="276" w:lineRule="auto"/>
      </w:pPr>
      <w:r>
        <w:rPr>
          <w:rFonts w:ascii="Calibri" w:hAnsi="Calibri"/>
          <w:b/>
          <w:color w:val="2C3E50"/>
          <w:sz w:val="22"/>
        </w:rPr>
        <w:t xml:space="preserve">Redundant Scans: </w:t>
      </w:r>
      <w:r>
        <w:rPr>
          <w:rFonts w:ascii="Calibri" w:hAnsi="Calibri"/>
          <w:color w:val="2C3E50"/>
          <w:sz w:val="22"/>
        </w:rPr>
        <w:t>The server executes 1,000 simultaneous SELECT * queries across the entire concerns database.</w:t>
      </w:r>
    </w:p>
    <w:p>
      <w:pPr>
        <w:pStyle w:val="ListBullet"/>
        <w:spacing w:after="80" w:line="276" w:lineRule="auto"/>
      </w:pPr>
      <w:r>
        <w:rPr>
          <w:rFonts w:ascii="Calibri" w:hAnsi="Calibri"/>
          <w:b/>
          <w:color w:val="2C3E50"/>
          <w:sz w:val="22"/>
        </w:rPr>
        <w:t xml:space="preserve">Heap Overflow: </w:t>
      </w:r>
      <w:r>
        <w:rPr>
          <w:rFonts w:ascii="Calibri" w:hAnsi="Calibri"/>
          <w:color w:val="2C3E50"/>
          <w:sz w:val="22"/>
        </w:rPr>
        <w:t>Loading, stringifying, and comparing thousands of concern records in Node.js memory simultaneously risks an Out-Of-Memory (OOM) fatal process termination.</w:t>
      </w:r>
    </w:p>
    <w:p>
      <w:pPr>
        <w:keepNext/>
        <w:spacing w:before="240" w:after="80"/>
      </w:pPr>
      <w:r>
        <w:rPr>
          <w:rFonts w:ascii="Calibri" w:hAnsi="Calibri"/>
          <w:b/>
          <w:color w:val="2980B9"/>
          <w:sz w:val="26"/>
        </w:rPr>
        <w:t>D. Direct Image Upload Bandwidth &amp; Disk Contention</w:t>
      </w:r>
    </w:p>
    <w:p>
      <w:pPr>
        <w:spacing w:after="120" w:line="276" w:lineRule="auto"/>
      </w:pPr>
      <w:r>
        <w:rPr>
          <w:rFonts w:ascii="Calibri" w:hAnsi="Calibri"/>
          <w:color w:val="2C3E50"/>
          <w:sz w:val="22"/>
        </w:rPr>
        <w:t>File attachments (2MB–5MB each) are uploaded directly to the Node.js application server via Multer and written to the local /uploads directory. 1,000 uploads equal 2GB–5GB of incoming network throughput arriving directly at the application process, saturating server bandwidth and disk write queues.</w:t>
      </w:r>
    </w:p>
    <w:p>
      <w:pPr>
        <w:keepNext/>
        <w:spacing w:before="360" w:after="120"/>
      </w:pPr>
      <w:r>
        <w:rPr>
          <w:rFonts w:ascii="Calibri" w:hAnsi="Calibri"/>
          <w:b/>
          <w:color w:val="1B365D"/>
          <w:sz w:val="32"/>
        </w:rPr>
        <w:t>3. The Scaled Enterprise Architecture (Target Model)</w:t>
      </w:r>
    </w:p>
    <w:p>
      <w:pPr>
        <w:spacing w:after="120" w:line="276" w:lineRule="auto"/>
      </w:pPr>
      <w:r>
        <w:rPr>
          <w:rFonts w:ascii="Calibri" w:hAnsi="Calibri"/>
          <w:color w:val="2C3E50"/>
          <w:sz w:val="22"/>
        </w:rPr>
        <w:t>To reliably support spikes of thousands of submissions without degrading responsiveness, the system should adopt an Event-Driven Asynchronous Processing pattern.</w:t>
      </w:r>
    </w:p>
    <w:p>
      <w:pPr>
        <w:keepNext/>
        <w:spacing w:before="240" w:after="80"/>
      </w:pPr>
      <w:r>
        <w:rPr>
          <w:rFonts w:ascii="Calibri" w:hAnsi="Calibri"/>
          <w:b/>
          <w:color w:val="2980B9"/>
          <w:sz w:val="26"/>
        </w:rPr>
        <w:t>Core Principle: Immediate Ingestion vs. Background Fulfillment</w:t>
      </w:r>
    </w:p>
    <w:p>
      <w:pPr>
        <w:spacing w:after="120" w:line="276" w:lineRule="auto"/>
      </w:pPr>
      <w:r>
        <w:rPr>
          <w:rFonts w:ascii="Calibri" w:hAnsi="Calibri"/>
          <w:color w:val="2C3E50"/>
          <w:sz w:val="22"/>
        </w:rPr>
        <w:t>Instead of forcing the citizen's mobile app to wait while the server writes to disk, calls external AI, matches duplicates, and routes departments, the server decouples ingestion into two phases:</w:t>
      </w:r>
    </w:p>
    <w:p>
      <w:pPr>
        <w:pStyle w:val="ListBullet"/>
        <w:spacing w:after="80" w:line="276" w:lineRule="auto"/>
      </w:pPr>
      <w:r>
        <w:rPr>
          <w:rFonts w:ascii="Calibri" w:hAnsi="Calibri"/>
          <w:b/>
          <w:color w:val="2C3E50"/>
          <w:sz w:val="22"/>
        </w:rPr>
        <w:t xml:space="preserve">Phase 1: Fast Ingestion (&lt;40ms): </w:t>
      </w:r>
      <w:r>
        <w:rPr>
          <w:rFonts w:ascii="Calibri" w:hAnsi="Calibri"/>
          <w:color w:val="2C3E50"/>
          <w:sz w:val="22"/>
        </w:rPr>
        <w:t>The API validates the schema, generates a persistent ID, pushes a payload to a Redis message queue, and replies with HTTP 202 Accepted in under 40 milliseconds. The citizen immediately sees 'Concern Received! Processing...'.</w:t>
      </w:r>
    </w:p>
    <w:p>
      <w:pPr>
        <w:pStyle w:val="ListBullet"/>
        <w:spacing w:after="80" w:line="276" w:lineRule="auto"/>
      </w:pPr>
      <w:r>
        <w:rPr>
          <w:rFonts w:ascii="Calibri" w:hAnsi="Calibri"/>
          <w:b/>
          <w:color w:val="2C3E50"/>
          <w:sz w:val="22"/>
        </w:rPr>
        <w:t xml:space="preserve">Phase 2: Asynchronous Workers: </w:t>
      </w:r>
      <w:r>
        <w:rPr>
          <w:rFonts w:ascii="Calibri" w:hAnsi="Calibri"/>
          <w:color w:val="2C3E50"/>
          <w:sz w:val="22"/>
        </w:rPr>
        <w:t>Independent background worker threads pop jobs from the queue at a controlled, sustainable rate, performing AI classification, duplicate detection, and notifications.</w:t>
      </w:r>
    </w:p>
    <w:p>
      <w:pPr>
        <w:keepNext/>
        <w:spacing w:before="240" w:after="80"/>
      </w:pPr>
      <w:r>
        <w:rPr>
          <w:rFonts w:ascii="Calibri" w:hAnsi="Calibri"/>
          <w:b/>
          <w:color w:val="2980B9"/>
          <w:sz w:val="26"/>
        </w:rPr>
        <w:t>Key Architectural Building Blocks</w:t>
      </w:r>
    </w:p>
    <w:p>
      <w:pPr>
        <w:pStyle w:val="ListBullet"/>
        <w:spacing w:after="80" w:line="276" w:lineRule="auto"/>
      </w:pPr>
      <w:r>
        <w:rPr>
          <w:rFonts w:ascii="Calibri" w:hAnsi="Calibri"/>
          <w:b/>
          <w:color w:val="2C3E50"/>
          <w:sz w:val="22"/>
        </w:rPr>
        <w:t xml:space="preserve">1. Message Queue (BullMQ / Redis): </w:t>
      </w:r>
      <w:r>
        <w:rPr>
          <w:rFonts w:ascii="Calibri" w:hAnsi="Calibri"/>
          <w:color w:val="2C3E50"/>
          <w:sz w:val="22"/>
        </w:rPr>
        <w:t>Utilize BullMQ on Redis. The queue acts as a shock absorber. Even if 10,000 concerns arrive in 10 seconds, Redis buffers them in RAM instantly without dropping a single record.</w:t>
      </w:r>
    </w:p>
    <w:p>
      <w:pPr>
        <w:pStyle w:val="ListBullet"/>
        <w:spacing w:after="80" w:line="276" w:lineRule="auto"/>
      </w:pPr>
      <w:r>
        <w:rPr>
          <w:rFonts w:ascii="Calibri" w:hAnsi="Calibri"/>
          <w:b/>
          <w:color w:val="2C3E50"/>
          <w:sz w:val="22"/>
        </w:rPr>
        <w:t xml:space="preserve">2. Direct-to-Cloud Storage: </w:t>
      </w:r>
      <w:r>
        <w:rPr>
          <w:rFonts w:ascii="Calibri" w:hAnsi="Calibri"/>
          <w:color w:val="2C3E50"/>
          <w:sz w:val="22"/>
        </w:rPr>
        <w:t>Mobile clients request a short-lived Pre-Signed URL from the backend, then upload image files directly to AWS S3 or Cloudinary. The CitiVoice backend never touches heavy binary files, consuming 95% less bandwidth.</w:t>
      </w:r>
    </w:p>
    <w:p>
      <w:pPr>
        <w:pStyle w:val="ListBullet"/>
        <w:spacing w:after="80" w:line="276" w:lineRule="auto"/>
      </w:pPr>
      <w:r>
        <w:rPr>
          <w:rFonts w:ascii="Calibri" w:hAnsi="Calibri"/>
          <w:b/>
          <w:color w:val="2C3E50"/>
          <w:sz w:val="22"/>
        </w:rPr>
        <w:t xml:space="preserve">3. Throttled AI Pipeline: </w:t>
      </w:r>
      <w:r>
        <w:rPr>
          <w:rFonts w:ascii="Calibri" w:hAnsi="Calibri"/>
          <w:color w:val="2C3E50"/>
          <w:sz w:val="22"/>
        </w:rPr>
        <w:t>Workers call AI APIs through a token-bucket rate limiter (e.g. 20 requests/second). If the AI API throttles, jobs automatically back off exponentially without affecting citizen submissions.</w:t>
      </w:r>
    </w:p>
    <w:p>
      <w:pPr>
        <w:pStyle w:val="ListBullet"/>
        <w:spacing w:after="80" w:line="276" w:lineRule="auto"/>
      </w:pPr>
      <w:r>
        <w:rPr>
          <w:rFonts w:ascii="Calibri" w:hAnsi="Calibri"/>
          <w:b/>
          <w:color w:val="2C3E50"/>
          <w:sz w:val="22"/>
        </w:rPr>
        <w:t xml:space="preserve">4. Database-Level Indexing: </w:t>
      </w:r>
      <w:r>
        <w:rPr>
          <w:rFonts w:ascii="Calibri" w:hAnsi="Calibri"/>
          <w:color w:val="2C3E50"/>
          <w:sz w:val="22"/>
        </w:rPr>
        <w:t>Replace JavaScript selectAllConcerns() loops with MySQL spatial indexing (ST_Distance_Sphere within 150m) and FULLTEXT database indexes to detect duplicate concerns in under 10ms directly at the database engine.</w:t>
      </w:r>
    </w:p>
    <w:p>
      <w:pPr>
        <w:pStyle w:val="ListBullet"/>
        <w:spacing w:after="80" w:line="276" w:lineRule="auto"/>
      </w:pPr>
      <w:r>
        <w:rPr>
          <w:rFonts w:ascii="Calibri" w:hAnsi="Calibri"/>
          <w:b/>
          <w:color w:val="2C3E50"/>
          <w:sz w:val="22"/>
        </w:rPr>
        <w:t xml:space="preserve">5. Horizontal Server Clustering: </w:t>
      </w:r>
      <w:r>
        <w:rPr>
          <w:rFonts w:ascii="Calibri" w:hAnsi="Calibri"/>
          <w:color w:val="2C3E50"/>
          <w:sz w:val="22"/>
        </w:rPr>
        <w:t>Run Node.js across all server CPU cores using PM2 Cluster Mode (pm2 start server.js -i max) and distribute requests behind an Nginx or cloud load balancer.</w:t>
      </w:r>
    </w:p>
    <w:p>
      <w:pPr>
        <w:keepNext/>
        <w:spacing w:before="360" w:after="120"/>
      </w:pPr>
      <w:r>
        <w:rPr>
          <w:rFonts w:ascii="Calibri" w:hAnsi="Calibri"/>
          <w:b/>
          <w:color w:val="1B365D"/>
          <w:sz w:val="32"/>
        </w:rPr>
        <w:t>4. Architectural Comparison Matrix</w:t>
      </w:r>
    </w:p>
    <w:p>
      <w:pPr>
        <w:spacing w:after="120" w:line="276" w:lineRule="auto"/>
      </w:pPr>
      <w:r>
        <w:rPr>
          <w:rFonts w:ascii="Calibri" w:hAnsi="Calibri"/>
          <w:color w:val="2C3E50"/>
          <w:sz w:val="22"/>
        </w:rPr>
        <w:t>The table below compares the current baseline with the recommended high-concurrency target: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tcPr>
          <w:p>
            <w:pPr>
              <w:jc w:val="left"/>
            </w:pPr>
            <w:r>
              <w:rPr>
                <w:rFonts w:ascii="Calibri" w:hAnsi="Calibri"/>
                <w:b/>
                <w:color w:val="FFFFFF"/>
                <w:sz w:val="21"/>
              </w:rPr>
              <w:t>Component / Aspect</w:t>
            </w:r>
          </w:p>
        </w:tc>
        <w:tc>
          <w:tcPr>
            <w:tcW w:type="dxa" w:w="3312"/>
            <w:shd w:fill="1B365D"/>
            <w:tcMar>
              <w:top w:w="120" w:type="dxa"/>
              <w:bottom w:w="120" w:type="dxa"/>
              <w:left w:w="140" w:type="dxa"/>
              <w:right w:w="140" w:type="dxa"/>
            </w:tcMar>
          </w:tcPr>
          <w:p>
            <w:pPr>
              <w:jc w:val="left"/>
            </w:pPr>
            <w:r>
              <w:rPr>
                <w:rFonts w:ascii="Calibri" w:hAnsi="Calibri"/>
                <w:b/>
                <w:color w:val="FFFFFF"/>
                <w:sz w:val="21"/>
              </w:rPr>
              <w:t>Current Architecture</w:t>
            </w:r>
          </w:p>
        </w:tc>
        <w:tc>
          <w:tcPr>
            <w:tcW w:type="dxa" w:w="3456"/>
            <w:shd w:fill="1B365D"/>
            <w:tcMar>
              <w:top w:w="120" w:type="dxa"/>
              <w:bottom w:w="120" w:type="dxa"/>
              <w:left w:w="140" w:type="dxa"/>
              <w:right w:w="140" w:type="dxa"/>
            </w:tcMar>
          </w:tcPr>
          <w:p>
            <w:pPr>
              <w:jc w:val="left"/>
            </w:pPr>
            <w:r>
              <w:rPr>
                <w:rFonts w:ascii="Calibri" w:hAnsi="Calibri"/>
                <w:b/>
                <w:color w:val="FFFFFF"/>
                <w:sz w:val="21"/>
              </w:rPr>
              <w:t>High-Concurrency Target</w:t>
            </w:r>
          </w:p>
        </w:tc>
      </w:tr>
      <w:tr>
        <w:tc>
          <w:tcPr>
            <w:tcW w:type="dxa" w:w="2592"/>
            <w:shd w:fill="FFFFFF"/>
            <w:tcMar>
              <w:top w:w="100" w:type="dxa"/>
              <w:bottom w:w="100" w:type="dxa"/>
              <w:left w:w="140" w:type="dxa"/>
              <w:right w:w="140" w:type="dxa"/>
            </w:tcMar>
          </w:tcPr>
          <w:p>
            <w:pPr>
              <w:jc w:val="left"/>
            </w:pPr>
            <w:r>
              <w:rPr>
                <w:rFonts w:ascii="Calibri" w:hAnsi="Calibri"/>
                <w:b/>
                <w:color w:val="1B365D"/>
                <w:sz w:val="19"/>
              </w:rPr>
              <w:t>Client Response Latency</w:t>
            </w:r>
          </w:p>
        </w:tc>
        <w:tc>
          <w:tcPr>
            <w:tcW w:type="dxa" w:w="3312"/>
            <w:shd w:fill="FFFFFF"/>
            <w:tcMar>
              <w:top w:w="100" w:type="dxa"/>
              <w:bottom w:w="100" w:type="dxa"/>
              <w:left w:w="140" w:type="dxa"/>
              <w:right w:w="140" w:type="dxa"/>
            </w:tcMar>
          </w:tcPr>
          <w:p>
            <w:pPr>
              <w:jc w:val="left"/>
            </w:pPr>
            <w:r>
              <w:rPr>
                <w:rFonts w:ascii="Calibri" w:hAnsi="Calibri"/>
                <w:color w:val="2C3E50"/>
                <w:sz w:val="19"/>
              </w:rPr>
              <w:t>3 to 6+ seconds (waits for full AI &amp; disk write)</w:t>
            </w:r>
          </w:p>
        </w:tc>
        <w:tc>
          <w:tcPr>
            <w:tcW w:type="dxa" w:w="3456"/>
            <w:shd w:fill="FFFFFF"/>
            <w:tcMar>
              <w:top w:w="100" w:type="dxa"/>
              <w:bottom w:w="100" w:type="dxa"/>
              <w:left w:w="140" w:type="dxa"/>
              <w:right w:w="140" w:type="dxa"/>
            </w:tcMar>
          </w:tcPr>
          <w:p>
            <w:pPr>
              <w:jc w:val="left"/>
            </w:pPr>
            <w:r>
              <w:rPr>
                <w:rFonts w:ascii="Calibri" w:hAnsi="Calibri"/>
                <w:color w:val="2C3E50"/>
                <w:sz w:val="19"/>
              </w:rPr>
              <w:t>&lt; 40 milliseconds (instant HTTP 202 Accepted)</w:t>
            </w:r>
          </w:p>
        </w:tc>
      </w:tr>
      <w:tr>
        <w:tc>
          <w:tcPr>
            <w:tcW w:type="dxa" w:w="2592"/>
            <w:shd w:fill="F0F4F8"/>
            <w:tcMar>
              <w:top w:w="100" w:type="dxa"/>
              <w:bottom w:w="100" w:type="dxa"/>
              <w:left w:w="140" w:type="dxa"/>
              <w:right w:w="140" w:type="dxa"/>
            </w:tcMar>
          </w:tcPr>
          <w:p>
            <w:pPr>
              <w:jc w:val="left"/>
            </w:pPr>
            <w:r>
              <w:rPr>
                <w:rFonts w:ascii="Calibri" w:hAnsi="Calibri"/>
                <w:b/>
                <w:color w:val="1B365D"/>
                <w:sz w:val="19"/>
              </w:rPr>
              <w:t>Spike Ingestion Behavior</w:t>
            </w:r>
          </w:p>
        </w:tc>
        <w:tc>
          <w:tcPr>
            <w:tcW w:type="dxa" w:w="3312"/>
            <w:shd w:fill="F0F4F8"/>
            <w:tcMar>
              <w:top w:w="100" w:type="dxa"/>
              <w:bottom w:w="100" w:type="dxa"/>
              <w:left w:w="140" w:type="dxa"/>
              <w:right w:w="140" w:type="dxa"/>
            </w:tcMar>
          </w:tcPr>
          <w:p>
            <w:pPr>
              <w:jc w:val="left"/>
            </w:pPr>
            <w:r>
              <w:rPr>
                <w:rFonts w:ascii="Calibri" w:hAnsi="Calibri"/>
                <w:color w:val="2C3E50"/>
                <w:sz w:val="19"/>
              </w:rPr>
              <w:t>Requests queue up, causing timeouts &amp; drops</w:t>
            </w:r>
          </w:p>
        </w:tc>
        <w:tc>
          <w:tcPr>
            <w:tcW w:type="dxa" w:w="3456"/>
            <w:shd w:fill="F0F4F8"/>
            <w:tcMar>
              <w:top w:w="100" w:type="dxa"/>
              <w:bottom w:w="100" w:type="dxa"/>
              <w:left w:w="140" w:type="dxa"/>
              <w:right w:w="140" w:type="dxa"/>
            </w:tcMar>
          </w:tcPr>
          <w:p>
            <w:pPr>
              <w:jc w:val="left"/>
            </w:pPr>
            <w:r>
              <w:rPr>
                <w:rFonts w:ascii="Calibri" w:hAnsi="Calibri"/>
                <w:color w:val="2C3E50"/>
                <w:sz w:val="19"/>
              </w:rPr>
              <w:t>Redis Queue buffers 10,000+ jobs safely</w:t>
            </w:r>
          </w:p>
        </w:tc>
      </w:tr>
      <w:tr>
        <w:tc>
          <w:tcPr>
            <w:tcW w:type="dxa" w:w="2592"/>
            <w:shd w:fill="FFFFFF"/>
            <w:tcMar>
              <w:top w:w="100" w:type="dxa"/>
              <w:bottom w:w="100" w:type="dxa"/>
              <w:left w:w="140" w:type="dxa"/>
              <w:right w:w="140" w:type="dxa"/>
            </w:tcMar>
          </w:tcPr>
          <w:p>
            <w:pPr>
              <w:jc w:val="left"/>
            </w:pPr>
            <w:r>
              <w:rPr>
                <w:rFonts w:ascii="Calibri" w:hAnsi="Calibri"/>
                <w:b/>
                <w:color w:val="1B365D"/>
                <w:sz w:val="19"/>
              </w:rPr>
              <w:t>Database Load</w:t>
            </w:r>
          </w:p>
        </w:tc>
        <w:tc>
          <w:tcPr>
            <w:tcW w:type="dxa" w:w="3312"/>
            <w:shd w:fill="FFFFFF"/>
            <w:tcMar>
              <w:top w:w="100" w:type="dxa"/>
              <w:bottom w:w="100" w:type="dxa"/>
              <w:left w:w="140" w:type="dxa"/>
              <w:right w:w="140" w:type="dxa"/>
            </w:tcMar>
          </w:tcPr>
          <w:p>
            <w:pPr>
              <w:jc w:val="left"/>
            </w:pPr>
            <w:r>
              <w:rPr>
                <w:rFonts w:ascii="Calibri" w:hAnsi="Calibri"/>
                <w:color w:val="2C3E50"/>
                <w:sz w:val="19"/>
              </w:rPr>
              <w:t>10-connection bottleneck; in-memory full table scans</w:t>
            </w:r>
          </w:p>
        </w:tc>
        <w:tc>
          <w:tcPr>
            <w:tcW w:type="dxa" w:w="3456"/>
            <w:shd w:fill="FFFFFF"/>
            <w:tcMar>
              <w:top w:w="100" w:type="dxa"/>
              <w:bottom w:w="100" w:type="dxa"/>
              <w:left w:w="140" w:type="dxa"/>
              <w:right w:w="140" w:type="dxa"/>
            </w:tcMar>
          </w:tcPr>
          <w:p>
            <w:pPr>
              <w:jc w:val="left"/>
            </w:pPr>
            <w:r>
              <w:rPr>
                <w:rFonts w:ascii="Calibri" w:hAnsi="Calibri"/>
                <w:color w:val="2C3E50"/>
                <w:sz w:val="19"/>
              </w:rPr>
              <w:t>50+ connection pool; SQL Spatial &amp; FullText indexes</w:t>
            </w:r>
          </w:p>
        </w:tc>
      </w:tr>
      <w:tr>
        <w:tc>
          <w:tcPr>
            <w:tcW w:type="dxa" w:w="2592"/>
            <w:shd w:fill="F0F4F8"/>
            <w:tcMar>
              <w:top w:w="100" w:type="dxa"/>
              <w:bottom w:w="100" w:type="dxa"/>
              <w:left w:w="140" w:type="dxa"/>
              <w:right w:w="140" w:type="dxa"/>
            </w:tcMar>
          </w:tcPr>
          <w:p>
            <w:pPr>
              <w:jc w:val="left"/>
            </w:pPr>
            <w:r>
              <w:rPr>
                <w:rFonts w:ascii="Calibri" w:hAnsi="Calibri"/>
                <w:b/>
                <w:color w:val="1B365D"/>
                <w:sz w:val="19"/>
              </w:rPr>
              <w:t>External AI Handling</w:t>
            </w:r>
          </w:p>
        </w:tc>
        <w:tc>
          <w:tcPr>
            <w:tcW w:type="dxa" w:w="3312"/>
            <w:shd w:fill="F0F4F8"/>
            <w:tcMar>
              <w:top w:w="100" w:type="dxa"/>
              <w:bottom w:w="100" w:type="dxa"/>
              <w:left w:w="140" w:type="dxa"/>
              <w:right w:w="140" w:type="dxa"/>
            </w:tcMar>
          </w:tcPr>
          <w:p>
            <w:pPr>
              <w:jc w:val="left"/>
            </w:pPr>
            <w:r>
              <w:rPr>
                <w:rFonts w:ascii="Calibri" w:hAnsi="Calibri"/>
                <w:color w:val="2C3E50"/>
                <w:sz w:val="19"/>
              </w:rPr>
              <w:t>Synchronous HTTP calls; triggers 429 rate limits</w:t>
            </w:r>
          </w:p>
        </w:tc>
        <w:tc>
          <w:tcPr>
            <w:tcW w:type="dxa" w:w="3456"/>
            <w:shd w:fill="F0F4F8"/>
            <w:tcMar>
              <w:top w:w="100" w:type="dxa"/>
              <w:bottom w:w="100" w:type="dxa"/>
              <w:left w:w="140" w:type="dxa"/>
              <w:right w:w="140" w:type="dxa"/>
            </w:tcMar>
          </w:tcPr>
          <w:p>
            <w:pPr>
              <w:jc w:val="left"/>
            </w:pPr>
            <w:r>
              <w:rPr>
                <w:rFonts w:ascii="Calibri" w:hAnsi="Calibri"/>
                <w:color w:val="2C3E50"/>
                <w:sz w:val="19"/>
              </w:rPr>
              <w:t>Controlled background workers with exponential backoff</w:t>
            </w:r>
          </w:p>
        </w:tc>
      </w:tr>
      <w:tr>
        <w:tc>
          <w:tcPr>
            <w:tcW w:type="dxa" w:w="2592"/>
            <w:shd w:fill="FFFFFF"/>
            <w:tcMar>
              <w:top w:w="100" w:type="dxa"/>
              <w:bottom w:w="100" w:type="dxa"/>
              <w:left w:w="140" w:type="dxa"/>
              <w:right w:w="140" w:type="dxa"/>
            </w:tcMar>
          </w:tcPr>
          <w:p>
            <w:pPr>
              <w:jc w:val="left"/>
            </w:pPr>
            <w:r>
              <w:rPr>
                <w:rFonts w:ascii="Calibri" w:hAnsi="Calibri"/>
                <w:b/>
                <w:color w:val="1B365D"/>
                <w:sz w:val="19"/>
              </w:rPr>
              <w:t>Image File Handling</w:t>
            </w:r>
          </w:p>
        </w:tc>
        <w:tc>
          <w:tcPr>
            <w:tcW w:type="dxa" w:w="3312"/>
            <w:shd w:fill="FFFFFF"/>
            <w:tcMar>
              <w:top w:w="100" w:type="dxa"/>
              <w:bottom w:w="100" w:type="dxa"/>
              <w:left w:w="140" w:type="dxa"/>
              <w:right w:w="140" w:type="dxa"/>
            </w:tcMar>
          </w:tcPr>
          <w:p>
            <w:pPr>
              <w:jc w:val="left"/>
            </w:pPr>
            <w:r>
              <w:rPr>
                <w:rFonts w:ascii="Calibri" w:hAnsi="Calibri"/>
                <w:color w:val="2C3E50"/>
                <w:sz w:val="19"/>
              </w:rPr>
              <w:t>Direct upload to local server disk via Multer</w:t>
            </w:r>
          </w:p>
        </w:tc>
        <w:tc>
          <w:tcPr>
            <w:tcW w:type="dxa" w:w="3456"/>
            <w:shd w:fill="FFFFFF"/>
            <w:tcMar>
              <w:top w:w="100" w:type="dxa"/>
              <w:bottom w:w="100" w:type="dxa"/>
              <w:left w:w="140" w:type="dxa"/>
              <w:right w:w="140" w:type="dxa"/>
            </w:tcMar>
          </w:tcPr>
          <w:p>
            <w:pPr>
              <w:jc w:val="left"/>
            </w:pPr>
            <w:r>
              <w:rPr>
                <w:rFonts w:ascii="Calibri" w:hAnsi="Calibri"/>
                <w:color w:val="2C3E50"/>
                <w:sz w:val="19"/>
              </w:rPr>
              <w:t>Direct-to-Cloud (S3/Cloudinary) via Presigned URLs</w:t>
            </w:r>
          </w:p>
        </w:tc>
      </w:tr>
      <w:tr>
        <w:tc>
          <w:tcPr>
            <w:tcW w:type="dxa" w:w="2592"/>
            <w:shd w:fill="F0F4F8"/>
            <w:tcMar>
              <w:top w:w="100" w:type="dxa"/>
              <w:bottom w:w="100" w:type="dxa"/>
              <w:left w:w="140" w:type="dxa"/>
              <w:right w:w="140" w:type="dxa"/>
            </w:tcMar>
          </w:tcPr>
          <w:p>
            <w:pPr>
              <w:jc w:val="left"/>
            </w:pPr>
            <w:r>
              <w:rPr>
                <w:rFonts w:ascii="Calibri" w:hAnsi="Calibri"/>
                <w:b/>
                <w:color w:val="1B365D"/>
                <w:sz w:val="19"/>
              </w:rPr>
              <w:t>Process Concurrency</w:t>
            </w:r>
          </w:p>
        </w:tc>
        <w:tc>
          <w:tcPr>
            <w:tcW w:type="dxa" w:w="3312"/>
            <w:shd w:fill="F0F4F8"/>
            <w:tcMar>
              <w:top w:w="100" w:type="dxa"/>
              <w:bottom w:w="100" w:type="dxa"/>
              <w:left w:w="140" w:type="dxa"/>
              <w:right w:w="140" w:type="dxa"/>
            </w:tcMar>
          </w:tcPr>
          <w:p>
            <w:pPr>
              <w:jc w:val="left"/>
            </w:pPr>
            <w:r>
              <w:rPr>
                <w:rFonts w:ascii="Calibri" w:hAnsi="Calibri"/>
                <w:color w:val="2C3E50"/>
                <w:sz w:val="19"/>
              </w:rPr>
              <w:t>Single Node.js event loop / single core</w:t>
            </w:r>
          </w:p>
        </w:tc>
        <w:tc>
          <w:tcPr>
            <w:tcW w:type="dxa" w:w="3456"/>
            <w:shd w:fill="F0F4F8"/>
            <w:tcMar>
              <w:top w:w="100" w:type="dxa"/>
              <w:bottom w:w="100" w:type="dxa"/>
              <w:left w:w="140" w:type="dxa"/>
              <w:right w:w="140" w:type="dxa"/>
            </w:tcMar>
          </w:tcPr>
          <w:p>
            <w:pPr>
              <w:jc w:val="left"/>
            </w:pPr>
            <w:r>
              <w:rPr>
                <w:rFonts w:ascii="Calibri" w:hAnsi="Calibri"/>
                <w:color w:val="2C3E50"/>
                <w:sz w:val="19"/>
              </w:rPr>
              <w:t>PM2 multi-core cluster behind Load Balancer</w:t>
            </w:r>
          </w:p>
        </w:tc>
      </w:tr>
    </w:tbl>
    <w:p>
      <w:pPr>
        <w:spacing w:after="240"/>
      </w:pPr>
    </w:p>
    <w:p>
      <w:pPr>
        <w:keepNext/>
        <w:spacing w:before="360" w:after="120"/>
      </w:pPr>
      <w:r>
        <w:rPr>
          <w:rFonts w:ascii="Calibri" w:hAnsi="Calibri"/>
          <w:b/>
          <w:color w:val="1B365D"/>
          <w:sz w:val="32"/>
        </w:rPr>
        <w:t>5. Phased Implementation Roadmap</w:t>
      </w:r>
    </w:p>
    <w:p>
      <w:pPr>
        <w:spacing w:after="120" w:line="276" w:lineRule="auto"/>
      </w:pPr>
      <w:r>
        <w:rPr>
          <w:rFonts w:ascii="Calibri" w:hAnsi="Calibri"/>
          <w:color w:val="2C3E50"/>
          <w:sz w:val="22"/>
        </w:rPr>
        <w:t>CitiVoice can scale gradually without requiring an immediate, high-cost overhaul. The recommended transition follows 3 manageable phases:</w:t>
      </w:r>
    </w:p>
    <w:p>
      <w:pPr>
        <w:keepNext/>
        <w:spacing w:before="240" w:after="80"/>
      </w:pPr>
      <w:r>
        <w:rPr>
          <w:rFonts w:ascii="Calibri" w:hAnsi="Calibri"/>
          <w:b/>
          <w:color w:val="2980B9"/>
          <w:sz w:val="26"/>
        </w:rPr>
        <w:t>Phase 1: Immediate Database &amp; Infrastructure Tuning (Low Effort, High Impact)</w:t>
      </w:r>
    </w:p>
    <w:p>
      <w:pPr>
        <w:pStyle w:val="ListBullet"/>
        <w:spacing w:after="80" w:line="276" w:lineRule="auto"/>
      </w:pPr>
      <w:r>
        <w:rPr>
          <w:rFonts w:ascii="Calibri" w:hAnsi="Calibri"/>
          <w:b/>
          <w:color w:val="2C3E50"/>
          <w:sz w:val="22"/>
        </w:rPr>
        <w:t xml:space="preserve">1. Database Pool: </w:t>
      </w:r>
      <w:r>
        <w:rPr>
          <w:rFonts w:ascii="Calibri" w:hAnsi="Calibri"/>
          <w:color w:val="2C3E50"/>
          <w:sz w:val="22"/>
        </w:rPr>
        <w:t>Increase connectionLimit from 10 to 40-60 in db.js (adjusting MySQL max_connections).</w:t>
      </w:r>
    </w:p>
    <w:p>
      <w:pPr>
        <w:pStyle w:val="ListBullet"/>
        <w:spacing w:after="80" w:line="276" w:lineRule="auto"/>
      </w:pPr>
      <w:r>
        <w:rPr>
          <w:rFonts w:ascii="Calibri" w:hAnsi="Calibri"/>
          <w:b/>
          <w:color w:val="2C3E50"/>
          <w:sz w:val="22"/>
        </w:rPr>
        <w:t xml:space="preserve">2. SQL Indexing: </w:t>
      </w:r>
      <w:r>
        <w:rPr>
          <w:rFonts w:ascii="Calibri" w:hAnsi="Calibri"/>
          <w:color w:val="2C3E50"/>
          <w:sz w:val="22"/>
        </w:rPr>
        <w:t>Add spatial index on (location_lat, location_lng) and MySQL FULLTEXT index on (title, description).</w:t>
      </w:r>
    </w:p>
    <w:p>
      <w:pPr>
        <w:pStyle w:val="ListBullet"/>
        <w:spacing w:after="80" w:line="276" w:lineRule="auto"/>
      </w:pPr>
      <w:r>
        <w:rPr>
          <w:rFonts w:ascii="Calibri" w:hAnsi="Calibri"/>
          <w:b/>
          <w:color w:val="2C3E50"/>
          <w:sz w:val="22"/>
        </w:rPr>
        <w:t xml:space="preserve">3. Multi-Core Execution: </w:t>
      </w:r>
      <w:r>
        <w:rPr>
          <w:rFonts w:ascii="Calibri" w:hAnsi="Calibri"/>
          <w:color w:val="2C3E50"/>
          <w:sz w:val="22"/>
        </w:rPr>
        <w:t>Run server.js in PM2 Cluster mode (pm2 start server.js -i max) to leverage all available server CPU cores.</w:t>
      </w:r>
    </w:p>
    <w:p>
      <w:pPr>
        <w:keepNext/>
        <w:spacing w:before="240" w:after="80"/>
      </w:pPr>
      <w:r>
        <w:rPr>
          <w:rFonts w:ascii="Calibri" w:hAnsi="Calibri"/>
          <w:b/>
          <w:color w:val="2980B9"/>
          <w:sz w:val="26"/>
        </w:rPr>
        <w:t>Phase 2: Queue Decoupling &amp; Direct File Uploads (Moderate Effort)</w:t>
      </w:r>
    </w:p>
    <w:p>
      <w:pPr>
        <w:pStyle w:val="ListBullet"/>
        <w:spacing w:after="80" w:line="276" w:lineRule="auto"/>
      </w:pPr>
      <w:r>
        <w:rPr>
          <w:rFonts w:ascii="Calibri" w:hAnsi="Calibri"/>
          <w:b/>
          <w:color w:val="2C3E50"/>
          <w:sz w:val="22"/>
        </w:rPr>
        <w:t xml:space="preserve">1. Asynchronous Queue: </w:t>
      </w:r>
      <w:r>
        <w:rPr>
          <w:rFonts w:ascii="Calibri" w:hAnsi="Calibri"/>
          <w:color w:val="2C3E50"/>
          <w:sz w:val="22"/>
        </w:rPr>
        <w:t>Introduce BullMQ + Redis for concern ingestion. Let createConcern return HTTP 202 immediately.</w:t>
      </w:r>
    </w:p>
    <w:p>
      <w:pPr>
        <w:pStyle w:val="ListBullet"/>
        <w:spacing w:after="80" w:line="276" w:lineRule="auto"/>
      </w:pPr>
      <w:r>
        <w:rPr>
          <w:rFonts w:ascii="Calibri" w:hAnsi="Calibri"/>
          <w:b/>
          <w:color w:val="2C3E50"/>
          <w:sz w:val="22"/>
        </w:rPr>
        <w:t xml:space="preserve">2. Direct Uploads: </w:t>
      </w:r>
      <w:r>
        <w:rPr>
          <w:rFonts w:ascii="Calibri" w:hAnsi="Calibri"/>
          <w:color w:val="2C3E50"/>
          <w:sz w:val="22"/>
        </w:rPr>
        <w:t>Switch image uploads to S3 / Cloudinary presigned URLs, removing image payload overhead from Express.</w:t>
      </w:r>
    </w:p>
    <w:p>
      <w:pPr>
        <w:pStyle w:val="ListBullet"/>
        <w:spacing w:after="80" w:line="276" w:lineRule="auto"/>
      </w:pPr>
      <w:r>
        <w:rPr>
          <w:rFonts w:ascii="Calibri" w:hAnsi="Calibri"/>
          <w:b/>
          <w:color w:val="2C3E50"/>
          <w:sz w:val="22"/>
        </w:rPr>
        <w:t xml:space="preserve">3. Background Workers: </w:t>
      </w:r>
      <w:r>
        <w:rPr>
          <w:rFonts w:ascii="Calibri" w:hAnsi="Calibri"/>
          <w:color w:val="2C3E50"/>
          <w:sz w:val="22"/>
        </w:rPr>
        <w:t>Move AI categorization, duplicate scoring, and notification broadcasts to dedicated queue workers.</w:t>
      </w:r>
    </w:p>
    <w:p>
      <w:pPr>
        <w:keepNext/>
        <w:spacing w:before="240" w:after="80"/>
      </w:pPr>
      <w:r>
        <w:rPr>
          <w:rFonts w:ascii="Calibri" w:hAnsi="Calibri"/>
          <w:b/>
          <w:color w:val="2980B9"/>
          <w:sz w:val="26"/>
        </w:rPr>
        <w:t>Phase 3: High-Availability &amp; Geo-Redundancy (Enterprise Scale)</w:t>
      </w:r>
    </w:p>
    <w:p>
      <w:pPr>
        <w:pStyle w:val="ListBullet"/>
        <w:spacing w:after="80" w:line="276" w:lineRule="auto"/>
      </w:pPr>
      <w:r>
        <w:rPr>
          <w:rFonts w:ascii="Calibri" w:hAnsi="Calibri"/>
          <w:b/>
          <w:color w:val="2C3E50"/>
          <w:sz w:val="22"/>
        </w:rPr>
        <w:t xml:space="preserve">1. DB Read Replicas: </w:t>
      </w:r>
      <w:r>
        <w:rPr>
          <w:rFonts w:ascii="Calibri" w:hAnsi="Calibri"/>
          <w:color w:val="2C3E50"/>
          <w:sz w:val="22"/>
        </w:rPr>
        <w:t>Implement read-replicas for public feeds and map markers to keep the primary master write-only.</w:t>
      </w:r>
    </w:p>
    <w:p>
      <w:pPr>
        <w:pStyle w:val="ListBullet"/>
        <w:spacing w:after="80" w:line="276" w:lineRule="auto"/>
      </w:pPr>
      <w:r>
        <w:rPr>
          <w:rFonts w:ascii="Calibri" w:hAnsi="Calibri"/>
          <w:b/>
          <w:color w:val="2C3E50"/>
          <w:sz w:val="22"/>
        </w:rPr>
        <w:t xml:space="preserve">2. Distributed Sockets: </w:t>
      </w:r>
      <w:r>
        <w:rPr>
          <w:rFonts w:ascii="Calibri" w:hAnsi="Calibri"/>
          <w:color w:val="2C3E50"/>
          <w:sz w:val="22"/>
        </w:rPr>
        <w:t>Connect Socket.IO instances using @socket.io/redis-adapter across multiple container nodes.</w:t>
      </w:r>
    </w:p>
    <w:p>
      <w:pPr>
        <w:pStyle w:val="ListBullet"/>
        <w:spacing w:after="80" w:line="276" w:lineRule="auto"/>
      </w:pPr>
      <w:r>
        <w:rPr>
          <w:rFonts w:ascii="Calibri" w:hAnsi="Calibri"/>
          <w:b/>
          <w:color w:val="2C3E50"/>
          <w:sz w:val="22"/>
        </w:rPr>
        <w:t xml:space="preserve">3. Edge CDN &amp; Rate Limiting: </w:t>
      </w:r>
      <w:r>
        <w:rPr>
          <w:rFonts w:ascii="Calibri" w:hAnsi="Calibri"/>
          <w:color w:val="2C3E50"/>
          <w:sz w:val="22"/>
        </w:rPr>
        <w:t>Put Cloudflare in front of API routes with DDoS protection and regional caching.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