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r>
        <w:t xml:space="preserve"> </w:t>
      </w:r>
      <w:r>
        <w:rPr>
          <w:b/>
        </w:rPr>
        <w:t>MSU Summer 2026, Master's Final Project</w:t>
      </w:r>
      <w:r>
        <w:t xml:space="preserve"> 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scores highest on the unseen splits.</w:t>
      </w:r>
      <w:r>
        <w:t xml:space="preserve"> It reaches 0.806 mean Dice on the three unseen datasets against U-Net's 0.755, and its seen-to-unseen drop (0.082) is about half of U-Net's (0.145). It trains 830,177 parameters, about 3% of the 24.4M that the ImageNet-initialized U-Net trains end-to-end.</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MedSAM's apparent collapse (0.661 unseen) bundled three causes. A controlled three-arm experiment separated them: a preprocessing bug in my pipeline cost 0.069 Dice; with backbone and preprocessing matched, the MedSAM checkpoint still trails generic SAM by 0.036, comparable in size to the 0.045 cost of the smaller backbone.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best unseen number in the study (0.925). A ground-truth box lifts SAM-ViT-H by +0.099 but lifts corrected MedSAM by +0.200. MedSAM is a specialized model, and the pattern is consistent with an encoder that relies on the box for localization and pays when the box is taken away.</w:t>
      </w:r>
    </w:p>
    <w:p>
      <w:r>
        <w:t>The contributions are a controlled comparison of four model families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PraNet reported that specialist CNNs lose a lot of accuracy on the unseen splits,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accuracy above per-modality specialist U-Net and DeepLabV3+ baselines, endoscopy included [5], with one structural condition: every training step supplied a bounding-box prompt.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a no prompts at inference. SAMed keeps and fine-tunes SAM's own mask decoder; this project replaces that decoder with a small CNN decoder, which is the one departure from the SAMed recipe.</w:t>
      </w:r>
    </w:p>
    <w:p>
      <w:r>
        <w:rPr>
          <w:b/>
        </w:rPr>
        <w:t>The unanswered question.</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its specialist baselines on endoscopy, and the PraNet protocol is exactly the setting where that claim can be tested without a prompt oracle. I did not find a published run of that test. This study runs it.</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sites with modest data and compute can prefer adapters over from-scratch training. The MedSAM analysis also shows how a preprocessing contract violation can look like a scientific finding. That is a methods lesson that reaches past this task.</w:t>
      </w:r>
    </w:p>
    <w:p>
      <w:pPr>
        <w:pStyle w:val="Heading2"/>
      </w:pPr>
      <w:r>
        <w:t>4. Methodology</w:t>
      </w:r>
    </w:p>
    <w:p>
      <w:pPr>
        <w:pStyle w:val="Heading3"/>
      </w:pPr>
      <w:r>
        <w:t>4.1 Datasets and protocol</w:t>
      </w:r>
    </w:p>
    <w:p>
      <w:r>
        <w:t xml:space="preserve">The study follows the PraNet five-split protocol: the same five datasets and the same split sizes, as configured in </w:t>
      </w:r>
      <w:r>
        <w:rPr>
          <w:rFonts w:ascii="Consolas" w:hAnsi="Consolas"/>
        </w:rPr>
        <w:t>configs/base.yaml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w:t>
            </w:r>
          </w:p>
        </w:tc>
        <w:tc>
          <w:tcPr>
            <w:tcW w:type="dxa" w:w="2880"/>
          </w:tcPr>
          <w:p>
            <w:r>
              <w:t>900 train / 100 seen test</w:t>
            </w:r>
          </w:p>
        </w:tc>
        <w:tc>
          <w:tcPr>
            <w:tcW w:type="dxa" w:w="2880"/>
          </w:tcPr>
          <w:p>
            <w:r>
              <w:t>1,000</w:t>
            </w:r>
          </w:p>
        </w:tc>
      </w:tr>
      <w:tr>
        <w:tc>
          <w:tcPr>
            <w:tcW w:type="dxa" w:w="2880"/>
          </w:tcPr>
          <w:p>
            <w:r>
              <w:t>CVC-ClinicDB</w:t>
            </w:r>
          </w:p>
        </w:tc>
        <w:tc>
          <w:tcPr>
            <w:tcW w:type="dxa" w:w="2880"/>
          </w:tcPr>
          <w:p>
            <w:r>
              <w:t>550 train / 62 seen test</w:t>
            </w:r>
          </w:p>
        </w:tc>
        <w:tc>
          <w:tcPr>
            <w:tcW w:type="dxa" w:w="2880"/>
          </w:tcPr>
          <w:p>
            <w:r>
              <w:t>612</w:t>
            </w:r>
          </w:p>
        </w:tc>
      </w:tr>
      <w:tr>
        <w:tc>
          <w:tcPr>
            <w:tcW w:type="dxa" w:w="2880"/>
          </w:tcPr>
          <w:p>
            <w:r>
              <w:t>CVC-ColonDB</w:t>
            </w:r>
          </w:p>
        </w:tc>
        <w:tc>
          <w:tcPr>
            <w:tcW w:type="dxa" w:w="2880"/>
          </w:tcPr>
          <w:p>
            <w:r>
              <w:t>unseen test</w:t>
            </w:r>
          </w:p>
        </w:tc>
        <w:tc>
          <w:tcPr>
            <w:tcW w:type="dxa" w:w="2880"/>
          </w:tcPr>
          <w:p>
            <w:r>
              <w:t>380</w:t>
            </w:r>
          </w:p>
        </w:tc>
      </w:tr>
      <w:tr>
        <w:tc>
          <w:tcPr>
            <w:tcW w:type="dxa" w:w="2880"/>
          </w:tcPr>
          <w:p>
            <w:r>
              <w:t>ETIS-LaribPolypDB</w:t>
            </w:r>
          </w:p>
        </w:tc>
        <w:tc>
          <w:tcPr>
            <w:tcW w:type="dxa" w:w="2880"/>
          </w:tcPr>
          <w:p>
            <w:r>
              <w:t>unseen test</w:t>
            </w:r>
          </w:p>
        </w:tc>
        <w:tc>
          <w:tcPr>
            <w:tcW w:type="dxa" w:w="2880"/>
          </w:tcPr>
          <w:p>
            <w:r>
              <w:t>196</w:t>
            </w:r>
          </w:p>
        </w:tc>
      </w:tr>
      <w:tr>
        <w:tc>
          <w:tcPr>
            <w:tcW w:type="dxa" w:w="2880"/>
          </w:tcPr>
          <w:p>
            <w:r>
              <w:t>CVC-300 (EndoScene)</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gap: mean seen mDice minus mean unseen mDice.</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adapt the SAMed recipe: the ViT encoder is frozen, rank-4 LoRA (alpha 8, dropout 0.1) wraps the merged query/key/value projection of every encoder attention block (one shared low-rank update across Q, K, and V, since SAM's encoder stores them as one linear layer), and a small CNN decoder reads a mask from the encoder features with no prompt at inference. SAMed targets Q and V separately and keeps SAM's mask decoder; both differences are noted in Section 7.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Input normalization is bound to the model key: ImageNet standardization for SAM and U-Net (the same mean and std that SAM's native </w:t>
      </w:r>
      <w:r>
        <w:rPr>
          <w:rFonts w:ascii="Consolas" w:hAnsi="Consolas"/>
        </w:rPr>
        <w:t>preprocess</w:t>
      </w:r>
      <w:r>
        <w:t xml:space="preserve"> applies), per-image min-max [0,1] for the corrected MedSAM arms (MedSAM's native contract).</w:t>
      </w:r>
    </w:p>
    <w:p>
      <w:pPr>
        <w:pStyle w:val="Heading3"/>
      </w:pPr>
      <w:r>
        <w:t>4.4 Evaluation</w:t>
      </w:r>
    </w:p>
    <w:p>
      <w:r>
        <w:t xml:space="preserve">All five splits are scored with the PraNet metric suite: mDice and mIoU (primary), weighted F-beta, S-measure, E-measure,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advisor before the final runs (</w:t>
      </w:r>
      <w:r>
        <w:rPr>
          <w:rFonts w:ascii="Consolas" w:hAnsi="Consolas"/>
        </w:rPr>
        <w:t>docs/PROJECT_PLAN.md</w:t>
      </w:r>
      <w:r>
        <w:t>).</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the defaults and the per-model blocks; </w:t>
      </w:r>
      <w:r>
        <w:rPr>
          <w:rFonts w:ascii="Consolas" w:hAnsi="Consolas"/>
        </w:rPr>
        <w:t>configs/run.yaml</w:t>
      </w:r>
      <w:r>
        <w:t xml:space="preserve"> holds the values the study actually used (batch size, epochs, learning rate, patience) and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advisor's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70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trained model (0.897).</w:t>
      </w:r>
    </w:p>
    <w:p>
      <w:r>
        <w:rPr>
          <w:b/>
        </w:rPr>
        <w:t>RQ2 (unseen).</w:t>
      </w:r>
      <w:r>
        <w:t xml:space="preserve"> SAM-ViT-H + LoRA leads every unseen split and holds 0.806 mean unseen Dice against U-Net's 0.755. Its seen-to-unseen drop is 0.082, about half of U-Net's 0.145. Even SAM-ViT-B + LoRA (0.761 unseen) edges past U-Net while it trains 1.3% of U-Net's parameters.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it still generalizes better than U-Net. Accuracy per trainable parameter favors the adapters; accuracy per minute favors U-Net. Which one matters depends on whether the target is the benchmark or the next clinic.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models sit close together on the seen splits and spread apart on the unseen ones. They separate on generalization. Learning ability is roughly a tie.</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brightness/contrast 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the seed spreads behind them run from 0.004 (the ViT-B arms) to 0.011 (SAM-ViT-H), so the two read as comparable in size rather than strictly ordered. The three effects sum to the deficit only with the jitter term included (−0.006 + 0.069 + 0.036 = 0.100). The checkpoint effect itself bundles MedSAM's medical training data with its box-prompted training objective; Section 6.4 points to the objective as the likely driver. The jitter confound was small (0.006), which shows the augmentation interaction did not drive the result.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entry in the oracle tier.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The study measures the lift, not the mechanism, but the size of the lift is consistent with an encoder that relies on the box for localization and pays when the box is taken away.</w:t>
      </w:r>
    </w:p>
    <w:p>
      <w:pPr>
        <w:pStyle w:val="Heading2"/>
      </w:pPr>
      <w:r>
        <w:t>7. Discussion</w:t>
      </w:r>
    </w:p>
    <w:p>
      <w:r>
        <w:rPr>
          <w:b/>
        </w:rPr>
        <w:t>The adaptation trade is real and favorable off-distribution, on this benchmark family.</w:t>
      </w:r>
      <w:r>
        <w:t xml:space="preserve"> The frozen SAM backbone carries visual priors beyond what an ImageNet-initialized CNN picks up from 1,450 polyp images, and the result is consistent with rank-4 LoRA being enough to point those priors at the task. The result pattern (specialist wins at home, adapter wins away) matches the deployment question clinics actually face, and the gap metric puts the trade in one line: 3% of the trainable parameters comes with half the generalization drop.</w:t>
      </w:r>
    </w:p>
    <w:p>
      <w:r>
        <w:rPr>
          <w:b/>
        </w:rPr>
        <w:t>MedSAM is specialized, not weak.</w:t>
      </w:r>
      <w:r>
        <w:t xml:space="preserve"> The finding I learned the most from is negative in form. MedSAM's published claim (above its specialist baselines on endoscopy) and my measured result (last on every split) are both correct. They measure different contracts. MedSAM with a box and min-max inputs posts the best unseen number here (0.925). MedSAM without the box loses the most, because its fine-tuning let the encoder offload localization to the prompt. A practitioner choosing a model should ask which contract the deployment honors. If no localizer supplies a box at inference, I would pick prompt-free adaptation of generic SAM over medical-pretrained MedSAM at the same size; the 0.036 residual in Section 6.3 is the reason, with the caveat that it rests on one benchmark family and three seeds.</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builds on SAMed's approach (LoRA on a frozen SAM encoder for medical segmentation) and adds the measurement SAMed did not make: cross-dataset generalization under the specialists' own protocol. Two parts of the recipe differ here, the CNN decoder in place of SAM's mask decoder and LoRA on the merged qkv projection instead of Q and V separately, so the comparison is to SAMed's approach rather than a replication of it. It also gives PraNet's seen/unseen framing a new use, separating model classes rather than ranking specialist variants.</w:t>
      </w:r>
    </w:p>
    <w:p>
      <w:pPr>
        <w:pStyle w:val="Heading2"/>
      </w:pPr>
      <w:r>
        <w:t>8. Conclusion</w:t>
      </w:r>
    </w:p>
    <w:p>
      <w:r>
        <w:t>A frozen SAM ViT-H backbone with an 830K-parameter LoRA adapter scores higher than a 24.4M-parameter ImageNet-initialized U-Net on the three unseen PraNet datasets (0.806 vs 0.755 mean Dice, three seeds, no significance test) and halves the seen-to-unseen drop (0.082 vs 0.145), while the specialist keeps the edge on seen data and in training cost. Controlled ablations attribute MedSAM's apparent collapse to three measured causes: a 0.069 preprocessing artifact in my own pipeline, a 0.036 residual for the MedSAM checkpoint at matched size, and a 0.045 backbone-size effect, the last two comparable in size, and quantify its prompt dependence (+0.200 from an oracle box against +0.099 for generic SAM).</w:t>
      </w:r>
    </w:p>
    <w:p>
      <w:r>
        <w:rPr>
          <w:b/>
        </w:rPr>
        <w:t>Contributions.</w:t>
      </w:r>
      <w:r>
        <w:t xml:space="preserve"> (1) A controlled four-family comparison (specialist CNN, LoRA-adapted generic SAM at two sizes, LoRA-adapted MedSAM)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No significance test was run; the seed spreads in Section 6.1 are the only uncertainty measure.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Evaluate on a benchmark family outside PraNet's five datasets, since that is the limitation that bounds the claim most. Pair MedSAM with a learned box proposer to test whether its 0.925 oracle ceiling is reachable without ground truth; the cascade is cheap because both halves already exist. Probe color sensitivity with the grayscale-replication experiment already designed. Test larger LoRA ranks and target modules.</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2023.</w:t>
      </w:r>
    </w:p>
    <w:p>
      <w:r>
        <w:t xml:space="preserve">[4] A. Kirillov et al., "Segment Anything," in </w:t>
      </w:r>
      <w:r>
        <w:rPr>
          <w:i/>
        </w:rPr>
        <w:t>Proc. IEEE/CVF ICCV</w:t>
      </w:r>
      <w:r>
        <w:t>, 2023, pp. 4015–4026.</w:t>
      </w:r>
    </w:p>
    <w:p>
      <w:r>
        <w:t xml:space="preserve">[5] J. Ma, Y. He, F. Li, L. Han, C. You, and B. Wang, "Segment anything in medical images," </w:t>
      </w:r>
      <w:r>
        <w:rPr>
          <w:i/>
        </w:rPr>
        <w:t>Nature Communications</w:t>
      </w:r>
      <w:r>
        <w:t>, vol. 15,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and F. Vilariño, "WM-DOVA maps for accurate polyp highlighting in colonoscopy,"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(CVC-300 / EndoScene)</w:t>
      </w:r>
    </w:p>
    <w:p>
      <w:r>
        <w:t xml:space="preserve">[13] D.-P. Fan, M.-M. Cheng, Y. Liu, T. Li, and A. Borji, "Structure-measure: A new way to evaluate foreground maps," in </w:t>
      </w:r>
      <w:r>
        <w:rPr>
          <w:i/>
        </w:rPr>
        <w:t>Proc. IEEE ICCV</w:t>
      </w:r>
      <w:r>
        <w:t>, 2017, pp. 4548–4557.</w:t>
      </w:r>
    </w:p>
    <w:p>
      <w:r>
        <w:t xml:space="preserve">[14] D.-P. Fan, C. Gong, Y. Cao, B. Ren, M.-M. Cheng, and A. Borji, "Enhanced-alignment measure for binary foreground map evaluation," in </w:t>
      </w:r>
      <w:r>
        <w:rPr>
          <w:i/>
        </w:rPr>
        <w:t>Proc. IJCAI</w:t>
      </w:r>
      <w:r>
        <w:t>, 2018, pp. 698–704.</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merged qkv projection of each encoder attention block</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(70 GPU-free tests, plus 8 transform tests that run only where Albumentations is installed).</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