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FEA0" w14:textId="119054AA" w:rsidR="00E052AD" w:rsidRPr="00E710BD" w:rsidRDefault="00CE619E" w:rsidP="009E4B07">
      <w:pPr>
        <w:ind w:left="720" w:firstLine="720"/>
        <w:rPr>
          <w:b/>
          <w:bCs/>
        </w:rPr>
      </w:pPr>
      <w:r w:rsidRPr="00E710BD">
        <w:rPr>
          <w:b/>
          <w:bCs/>
        </w:rPr>
        <w:t>Company Report:</w:t>
      </w:r>
      <w:r w:rsidR="00E57A90" w:rsidRPr="00E57A90">
        <w:rPr>
          <w:b/>
          <w:bCs/>
        </w:rPr>
        <w:t xml:space="preserve"> </w:t>
      </w:r>
      <w:r w:rsidR="009E4B07" w:rsidRPr="009E4B07">
        <w:rPr>
          <w:b/>
          <w:bCs/>
        </w:rPr>
        <w:t>Tata Consultancy Services (TCS)</w:t>
      </w:r>
    </w:p>
    <w:p w14:paraId="2052353E" w14:textId="77777777" w:rsidR="00CE619E" w:rsidRDefault="00CE619E"/>
    <w:p w14:paraId="0F1EF07C" w14:textId="7D9D9BF6" w:rsidR="00CE619E" w:rsidRPr="00E710BD" w:rsidRDefault="00CE619E" w:rsidP="00CE619E">
      <w:pPr>
        <w:rPr>
          <w:b/>
          <w:bCs/>
          <w:color w:val="215E99" w:themeColor="text2" w:themeTint="BF"/>
        </w:rPr>
      </w:pPr>
      <w:r w:rsidRPr="00E710BD">
        <w:rPr>
          <w:b/>
          <w:bCs/>
          <w:color w:val="215E99" w:themeColor="text2" w:themeTint="BF"/>
        </w:rPr>
        <w:t>1. Introduction</w:t>
      </w:r>
    </w:p>
    <w:p w14:paraId="7EE5C837" w14:textId="77777777" w:rsidR="003B6C74" w:rsidRPr="003B6C74" w:rsidRDefault="003B6C74" w:rsidP="003B6C74">
      <w:pPr>
        <w:rPr>
          <w:color w:val="000000" w:themeColor="text1"/>
        </w:rPr>
      </w:pPr>
      <w:r w:rsidRPr="003B6C74">
        <w:rPr>
          <w:color w:val="000000" w:themeColor="text1"/>
        </w:rPr>
        <w:t>Tata Consultancy Services (TCS) is a global leader in IT services, consulting, and business solutions. A part of the Tata Group, India’s largest multinational business group, TCS helps enterprises across the globe transform through technology and innovation. With a strong emphasis on long-term client relationships and a global delivery model, TCS has become a trusted partner in digital transformation.</w:t>
      </w:r>
    </w:p>
    <w:p w14:paraId="0CE9788F" w14:textId="77777777" w:rsidR="00850C57" w:rsidRDefault="00850C57" w:rsidP="00352C7A">
      <w:pPr>
        <w:rPr>
          <w:b/>
          <w:bCs/>
          <w:color w:val="215E99" w:themeColor="text2" w:themeTint="BF"/>
        </w:rPr>
      </w:pPr>
    </w:p>
    <w:p w14:paraId="21C3FB22" w14:textId="71CE2835" w:rsidR="00352C7A" w:rsidRPr="00352C7A" w:rsidRDefault="00CE619E" w:rsidP="00352C7A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2. Company Profile</w:t>
      </w:r>
    </w:p>
    <w:p w14:paraId="4933772F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Name: Tata Consultancy Services Limited</w:t>
      </w:r>
    </w:p>
    <w:p w14:paraId="56701CB1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Founded: 1968</w:t>
      </w:r>
    </w:p>
    <w:p w14:paraId="26098B3E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Headquarters: Mumbai, Maharashtra, India</w:t>
      </w:r>
    </w:p>
    <w:p w14:paraId="572F944D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Global Presence: Operations in 50+ countries</w:t>
      </w:r>
    </w:p>
    <w:p w14:paraId="57593273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Leadership:</w:t>
      </w:r>
    </w:p>
    <w:p w14:paraId="13F155E0" w14:textId="77777777" w:rsidR="007063F0" w:rsidRPr="007063F0" w:rsidRDefault="007063F0" w:rsidP="007063F0">
      <w:pPr>
        <w:rPr>
          <w:color w:val="000000" w:themeColor="text1"/>
        </w:rPr>
      </w:pPr>
    </w:p>
    <w:p w14:paraId="2C781BA9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K. Krithivasan – CEO &amp; MD</w:t>
      </w:r>
    </w:p>
    <w:p w14:paraId="5E59F5E8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Samir Seksaria – CFO</w:t>
      </w:r>
    </w:p>
    <w:p w14:paraId="3C3BAD48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Industry: IT Services, Consulting, and Business Solutions</w:t>
      </w:r>
    </w:p>
    <w:p w14:paraId="5873817D" w14:textId="77777777" w:rsidR="007063F0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Mission Statement: To help customers achieve their business objectives by providing innovative, best-in-class consulting, IT solutions, and services</w:t>
      </w:r>
    </w:p>
    <w:p w14:paraId="16FBD6C4" w14:textId="623B8C8C" w:rsidR="003B6C74" w:rsidRPr="007063F0" w:rsidRDefault="007063F0" w:rsidP="007063F0">
      <w:pPr>
        <w:rPr>
          <w:color w:val="000000" w:themeColor="text1"/>
        </w:rPr>
      </w:pPr>
      <w:r w:rsidRPr="007063F0">
        <w:rPr>
          <w:color w:val="000000" w:themeColor="text1"/>
        </w:rPr>
        <w:t>• Vision: To be among the top 10 technology firms globally by driving innovation, sustainability, and excellence</w:t>
      </w:r>
    </w:p>
    <w:p w14:paraId="1A07607B" w14:textId="5A374FC3" w:rsidR="00CE619E" w:rsidRPr="009C2ABD" w:rsidRDefault="00CE619E" w:rsidP="00CE619E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3. Technical Analysis</w:t>
      </w:r>
    </w:p>
    <w:p w14:paraId="64F15550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Core Services and Capabilities:</w:t>
      </w:r>
    </w:p>
    <w:p w14:paraId="1962B941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Application Development and Maintenance</w:t>
      </w:r>
    </w:p>
    <w:p w14:paraId="7B69A842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IT Infrastructure and Cloud Services</w:t>
      </w:r>
    </w:p>
    <w:p w14:paraId="1F68EE47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Enterprise Solutions (SAP, Oracle, Microsoft)</w:t>
      </w:r>
    </w:p>
    <w:p w14:paraId="1789EED7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Engineering &amp; Industrial Services</w:t>
      </w:r>
    </w:p>
    <w:p w14:paraId="219C67CD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Consulting and Cognitive Business Operations (CBO)</w:t>
      </w:r>
    </w:p>
    <w:p w14:paraId="0846F812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lastRenderedPageBreak/>
        <w:t>• Data Analytics, AI, and Cybersecurity</w:t>
      </w:r>
    </w:p>
    <w:p w14:paraId="25A780CA" w14:textId="77777777" w:rsidR="00082868" w:rsidRPr="00082868" w:rsidRDefault="00082868" w:rsidP="00082868">
      <w:pPr>
        <w:rPr>
          <w:color w:val="000000" w:themeColor="text1"/>
        </w:rPr>
      </w:pPr>
    </w:p>
    <w:p w14:paraId="26048C58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Digital and Emerging Tech Integration:</w:t>
      </w:r>
    </w:p>
    <w:p w14:paraId="1788BFF9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 xml:space="preserve">• TCS </w:t>
      </w:r>
      <w:proofErr w:type="spellStart"/>
      <w:r w:rsidRPr="00082868">
        <w:rPr>
          <w:color w:val="000000" w:themeColor="text1"/>
        </w:rPr>
        <w:t>BaNCS</w:t>
      </w:r>
      <w:proofErr w:type="spellEnd"/>
      <w:r w:rsidRPr="00082868">
        <w:rPr>
          <w:color w:val="000000" w:themeColor="text1"/>
        </w:rPr>
        <w:t xml:space="preserve"> – Banking platform</w:t>
      </w:r>
    </w:p>
    <w:p w14:paraId="7439692E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 xml:space="preserve">• </w:t>
      </w:r>
      <w:proofErr w:type="spellStart"/>
      <w:r w:rsidRPr="00082868">
        <w:rPr>
          <w:color w:val="000000" w:themeColor="text1"/>
        </w:rPr>
        <w:t>ignio</w:t>
      </w:r>
      <w:proofErr w:type="spellEnd"/>
      <w:r w:rsidRPr="00082868">
        <w:rPr>
          <w:color w:val="000000" w:themeColor="text1"/>
        </w:rPr>
        <w:t xml:space="preserve"> – Cognitive automation platform by Digitate (TCS subsidiary)</w:t>
      </w:r>
    </w:p>
    <w:p w14:paraId="5984EC9D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TCS MasterCraft – Automation suite</w:t>
      </w:r>
    </w:p>
    <w:p w14:paraId="5B763A3F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TCS ADD – Platform for the pharmaceutical and life sciences sector</w:t>
      </w:r>
    </w:p>
    <w:p w14:paraId="61A55C59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Quantum Computing, Blockchain, IoT, and AI investments</w:t>
      </w:r>
    </w:p>
    <w:p w14:paraId="1FD4BDE4" w14:textId="77777777" w:rsidR="00082868" w:rsidRPr="00082868" w:rsidRDefault="00082868" w:rsidP="00082868">
      <w:pPr>
        <w:rPr>
          <w:color w:val="000000" w:themeColor="text1"/>
        </w:rPr>
      </w:pPr>
    </w:p>
    <w:p w14:paraId="3F859B76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Certifications and Compliance:</w:t>
      </w:r>
    </w:p>
    <w:p w14:paraId="03A9CA39" w14:textId="77777777" w:rsidR="00082868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ISO 9001, ISO 27001, CMMI Level 5</w:t>
      </w:r>
    </w:p>
    <w:p w14:paraId="07AFAFC1" w14:textId="23BFA3B5" w:rsidR="007063F0" w:rsidRPr="00082868" w:rsidRDefault="00082868" w:rsidP="00082868">
      <w:pPr>
        <w:rPr>
          <w:color w:val="000000" w:themeColor="text1"/>
        </w:rPr>
      </w:pPr>
      <w:r w:rsidRPr="00082868">
        <w:rPr>
          <w:color w:val="000000" w:themeColor="text1"/>
        </w:rPr>
        <w:t>• GDPR, HIPAA, and SOC 2 compliant</w:t>
      </w:r>
    </w:p>
    <w:p w14:paraId="6051D266" w14:textId="1493DDC6" w:rsidR="00CE619E" w:rsidRPr="009C2ABD" w:rsidRDefault="00CE619E" w:rsidP="00CE619E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4. Marketing Analysis</w:t>
      </w:r>
    </w:p>
    <w:p w14:paraId="6A69F2DB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Target Audience:</w:t>
      </w:r>
    </w:p>
    <w:p w14:paraId="7D96A3A1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Global Fortune 500 companies</w:t>
      </w:r>
    </w:p>
    <w:p w14:paraId="17106328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BFSI, Retail, Manufacturing, Healthcare, and Government sectors</w:t>
      </w:r>
    </w:p>
    <w:p w14:paraId="6AB8BF2F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Mid-sized digital transformation clients</w:t>
      </w:r>
    </w:p>
    <w:p w14:paraId="4C8B5D1E" w14:textId="77777777" w:rsidR="00472D31" w:rsidRPr="00472D31" w:rsidRDefault="00472D31" w:rsidP="00472D31">
      <w:pPr>
        <w:rPr>
          <w:color w:val="000000" w:themeColor="text1"/>
        </w:rPr>
      </w:pPr>
    </w:p>
    <w:p w14:paraId="19802915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Promotional Activities:</w:t>
      </w:r>
    </w:p>
    <w:p w14:paraId="64B4D4A8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Thought leadership via TCS Research and whitepapers</w:t>
      </w:r>
    </w:p>
    <w:p w14:paraId="084F1C8F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Sponsorship of major events like TCS New York Marathon, TCS London Marathon</w:t>
      </w:r>
    </w:p>
    <w:p w14:paraId="5E074029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Webinars, client showcases, and participation in industry summits</w:t>
      </w:r>
    </w:p>
    <w:p w14:paraId="57355729" w14:textId="77777777" w:rsidR="00472D31" w:rsidRPr="00472D31" w:rsidRDefault="00472D31" w:rsidP="00472D31">
      <w:pPr>
        <w:rPr>
          <w:color w:val="000000" w:themeColor="text1"/>
        </w:rPr>
      </w:pPr>
    </w:p>
    <w:p w14:paraId="345D99CF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Differentiation Strategy:</w:t>
      </w:r>
    </w:p>
    <w:p w14:paraId="05E272D8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Global Network Delivery Model (GNDM)</w:t>
      </w:r>
    </w:p>
    <w:p w14:paraId="5B5C775F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Industry-specific solutions</w:t>
      </w:r>
    </w:p>
    <w:p w14:paraId="055C6C7B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Focus on sustainability and business resilience</w:t>
      </w:r>
    </w:p>
    <w:p w14:paraId="45BA4C8D" w14:textId="77777777" w:rsidR="00472D31" w:rsidRPr="00472D31" w:rsidRDefault="00472D31" w:rsidP="00472D31">
      <w:pPr>
        <w:rPr>
          <w:color w:val="000000" w:themeColor="text1"/>
        </w:rPr>
      </w:pPr>
    </w:p>
    <w:p w14:paraId="17179AF6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lastRenderedPageBreak/>
        <w:t>Notable Implementations:</w:t>
      </w:r>
    </w:p>
    <w:p w14:paraId="7FA08BC1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Digital banking transformation for European banks</w:t>
      </w:r>
    </w:p>
    <w:p w14:paraId="4D1E7AC0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Global ERP migration for a major FMCG brand</w:t>
      </w:r>
    </w:p>
    <w:p w14:paraId="2557F989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Smart manufacturing solutions for industrial clients</w:t>
      </w:r>
    </w:p>
    <w:p w14:paraId="3B0CB1D2" w14:textId="77777777" w:rsidR="00472D31" w:rsidRPr="00472D31" w:rsidRDefault="00472D31" w:rsidP="00472D31">
      <w:pPr>
        <w:rPr>
          <w:color w:val="000000" w:themeColor="text1"/>
        </w:rPr>
      </w:pPr>
    </w:p>
    <w:p w14:paraId="710E8FD7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Customer Retention and Expansion Strategy:</w:t>
      </w:r>
    </w:p>
    <w:p w14:paraId="56B1210B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98%+ customer retention rate</w:t>
      </w:r>
    </w:p>
    <w:p w14:paraId="644D793D" w14:textId="77777777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Strategic business units and regional hubs</w:t>
      </w:r>
    </w:p>
    <w:p w14:paraId="3F9A3054" w14:textId="5C3AD2DE" w:rsidR="00472D31" w:rsidRPr="00472D31" w:rsidRDefault="00472D31" w:rsidP="00472D31">
      <w:pPr>
        <w:rPr>
          <w:color w:val="000000" w:themeColor="text1"/>
        </w:rPr>
      </w:pPr>
      <w:r w:rsidRPr="00472D31">
        <w:rPr>
          <w:color w:val="000000" w:themeColor="text1"/>
        </w:rPr>
        <w:t>• Long-term managed services and transformation engagements</w:t>
      </w:r>
    </w:p>
    <w:p w14:paraId="00049994" w14:textId="5A69BE56" w:rsidR="00CE619E" w:rsidRPr="009C2ABD" w:rsidRDefault="00CE619E" w:rsidP="00CE619E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5. Financial Analysis</w:t>
      </w:r>
    </w:p>
    <w:p w14:paraId="5CB12286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Key Financial Metrics (FY 2023):</w:t>
      </w:r>
    </w:p>
    <w:p w14:paraId="1286570F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Revenue: $27.9 Billion</w:t>
      </w:r>
    </w:p>
    <w:p w14:paraId="46C68EE6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Net Income: $5.3 Billion</w:t>
      </w:r>
    </w:p>
    <w:p w14:paraId="4A64ED17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 xml:space="preserve">• Market Capitalization: ~$140 </w:t>
      </w:r>
      <w:proofErr w:type="gramStart"/>
      <w:r w:rsidRPr="00FE47AE">
        <w:rPr>
          <w:color w:val="000000" w:themeColor="text1"/>
        </w:rPr>
        <w:t>Billion</w:t>
      </w:r>
      <w:proofErr w:type="gramEnd"/>
    </w:p>
    <w:p w14:paraId="1CE85589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Employees: ~620,000</w:t>
      </w:r>
    </w:p>
    <w:p w14:paraId="18263BDE" w14:textId="77777777" w:rsidR="00FE47AE" w:rsidRPr="00FE47AE" w:rsidRDefault="00FE47AE" w:rsidP="00FE47AE">
      <w:pPr>
        <w:rPr>
          <w:color w:val="000000" w:themeColor="text1"/>
        </w:rPr>
      </w:pPr>
    </w:p>
    <w:p w14:paraId="0DD377FD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Capital Expenditure and Investments:</w:t>
      </w:r>
    </w:p>
    <w:p w14:paraId="04AECB34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Investment in R&amp;D and next-gen platforms</w:t>
      </w:r>
    </w:p>
    <w:p w14:paraId="40B63666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 xml:space="preserve">• New delivery </w:t>
      </w:r>
      <w:proofErr w:type="spellStart"/>
      <w:r w:rsidRPr="00FE47AE">
        <w:rPr>
          <w:color w:val="000000" w:themeColor="text1"/>
        </w:rPr>
        <w:t>centers</w:t>
      </w:r>
      <w:proofErr w:type="spellEnd"/>
      <w:r w:rsidRPr="00FE47AE">
        <w:rPr>
          <w:color w:val="000000" w:themeColor="text1"/>
        </w:rPr>
        <w:t xml:space="preserve"> in the U.S., Europe, and Japan</w:t>
      </w:r>
    </w:p>
    <w:p w14:paraId="2951BCD9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 xml:space="preserve">• Upskilling via TCS </w:t>
      </w:r>
      <w:proofErr w:type="spellStart"/>
      <w:r w:rsidRPr="00FE47AE">
        <w:rPr>
          <w:color w:val="000000" w:themeColor="text1"/>
        </w:rPr>
        <w:t>iON</w:t>
      </w:r>
      <w:proofErr w:type="spellEnd"/>
      <w:r w:rsidRPr="00FE47AE">
        <w:rPr>
          <w:color w:val="000000" w:themeColor="text1"/>
        </w:rPr>
        <w:t xml:space="preserve"> and Elevate programs</w:t>
      </w:r>
    </w:p>
    <w:p w14:paraId="3FC6A9D9" w14:textId="77777777" w:rsidR="00FE47AE" w:rsidRPr="00FE47AE" w:rsidRDefault="00FE47AE" w:rsidP="00FE47AE">
      <w:pPr>
        <w:rPr>
          <w:color w:val="000000" w:themeColor="text1"/>
        </w:rPr>
      </w:pPr>
    </w:p>
    <w:p w14:paraId="436EBB94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Revenue Model:</w:t>
      </w:r>
    </w:p>
    <w:p w14:paraId="0A1EFD21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45% from Digital Services</w:t>
      </w:r>
    </w:p>
    <w:p w14:paraId="61E17EBA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30% from Application &amp; Infrastructure Services</w:t>
      </w:r>
    </w:p>
    <w:p w14:paraId="22C79810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25% from Industry and Platform-based Solutions</w:t>
      </w:r>
    </w:p>
    <w:p w14:paraId="5E216644" w14:textId="77777777" w:rsidR="00FE47AE" w:rsidRPr="00FE47AE" w:rsidRDefault="00FE47AE" w:rsidP="00FE47AE">
      <w:pPr>
        <w:rPr>
          <w:color w:val="000000" w:themeColor="text1"/>
        </w:rPr>
      </w:pPr>
    </w:p>
    <w:p w14:paraId="425D3158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Financial Health Indicators:</w:t>
      </w:r>
    </w:p>
    <w:p w14:paraId="0C3AD35D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Debt-free with strong cash flow</w:t>
      </w:r>
    </w:p>
    <w:p w14:paraId="47CB5AD2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lastRenderedPageBreak/>
        <w:t>• High dividend payout track record</w:t>
      </w:r>
    </w:p>
    <w:p w14:paraId="5F68016E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Top-tier credit ratings and investor confidence</w:t>
      </w:r>
    </w:p>
    <w:p w14:paraId="340BBC51" w14:textId="77777777" w:rsidR="00FE47AE" w:rsidRPr="00FE47AE" w:rsidRDefault="00FE47AE" w:rsidP="00FE47AE">
      <w:pPr>
        <w:rPr>
          <w:color w:val="000000" w:themeColor="text1"/>
        </w:rPr>
      </w:pPr>
    </w:p>
    <w:p w14:paraId="414443B8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Risk Management:</w:t>
      </w:r>
    </w:p>
    <w:p w14:paraId="72E6D0F1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Comprehensive risk governance</w:t>
      </w:r>
    </w:p>
    <w:p w14:paraId="1BEAAB5C" w14:textId="77777777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 xml:space="preserve">• Cybersecurity monitoring </w:t>
      </w:r>
      <w:proofErr w:type="spellStart"/>
      <w:r w:rsidRPr="00FE47AE">
        <w:rPr>
          <w:color w:val="000000" w:themeColor="text1"/>
        </w:rPr>
        <w:t>centers</w:t>
      </w:r>
      <w:proofErr w:type="spellEnd"/>
    </w:p>
    <w:p w14:paraId="638FE597" w14:textId="14BC9B00" w:rsidR="00FE47AE" w:rsidRPr="00FE47AE" w:rsidRDefault="00FE47AE" w:rsidP="00FE47AE">
      <w:pPr>
        <w:rPr>
          <w:color w:val="000000" w:themeColor="text1"/>
        </w:rPr>
      </w:pPr>
      <w:r w:rsidRPr="00FE47AE">
        <w:rPr>
          <w:color w:val="000000" w:themeColor="text1"/>
        </w:rPr>
        <w:t>• Geopolitical and regulatory exposure management</w:t>
      </w:r>
    </w:p>
    <w:p w14:paraId="676B10B2" w14:textId="6BA99397" w:rsidR="00E710BD" w:rsidRPr="009C2ABD" w:rsidRDefault="00E710BD" w:rsidP="00E710BD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6. SWOT Analysis</w:t>
      </w:r>
    </w:p>
    <w:p w14:paraId="7F69B520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Strengths:</w:t>
      </w:r>
    </w:p>
    <w:p w14:paraId="155691ED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Strong brand equity and trusted Tata Group heritage</w:t>
      </w:r>
    </w:p>
    <w:p w14:paraId="3528E9F8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Global delivery excellence and diverse portfolio</w:t>
      </w:r>
    </w:p>
    <w:p w14:paraId="7DA4A3C2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Strong client relationships and low attrition</w:t>
      </w:r>
    </w:p>
    <w:p w14:paraId="302B536C" w14:textId="77777777" w:rsidR="00265E8C" w:rsidRPr="00265E8C" w:rsidRDefault="00265E8C" w:rsidP="00265E8C">
      <w:pPr>
        <w:rPr>
          <w:color w:val="000000" w:themeColor="text1"/>
        </w:rPr>
      </w:pPr>
    </w:p>
    <w:p w14:paraId="092C1926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Weaknesses:</w:t>
      </w:r>
    </w:p>
    <w:p w14:paraId="7BCD8225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Slower expansion in digital-native business segments</w:t>
      </w:r>
    </w:p>
    <w:p w14:paraId="1606C040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Dependency on BFSI and North American markets</w:t>
      </w:r>
    </w:p>
    <w:p w14:paraId="1C0A2601" w14:textId="77777777" w:rsidR="00265E8C" w:rsidRPr="00265E8C" w:rsidRDefault="00265E8C" w:rsidP="00265E8C">
      <w:pPr>
        <w:rPr>
          <w:color w:val="000000" w:themeColor="text1"/>
        </w:rPr>
      </w:pPr>
    </w:p>
    <w:p w14:paraId="4C60A42B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Opportunities:</w:t>
      </w:r>
    </w:p>
    <w:p w14:paraId="3286DB1E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Growth in AI, automation, and sustainability solutions</w:t>
      </w:r>
    </w:p>
    <w:p w14:paraId="7A90CB09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Expansion into Latin America and Asia-Pacific</w:t>
      </w:r>
    </w:p>
    <w:p w14:paraId="1FCA20DE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Rise in demand for vendor consolidation and strategic IT partners</w:t>
      </w:r>
    </w:p>
    <w:p w14:paraId="285B9D39" w14:textId="77777777" w:rsidR="00265E8C" w:rsidRPr="00265E8C" w:rsidRDefault="00265E8C" w:rsidP="00265E8C">
      <w:pPr>
        <w:rPr>
          <w:color w:val="000000" w:themeColor="text1"/>
        </w:rPr>
      </w:pPr>
    </w:p>
    <w:p w14:paraId="5DAB4C80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Threats:</w:t>
      </w:r>
    </w:p>
    <w:p w14:paraId="0FA2BE91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 xml:space="preserve">• Intense competition from global IT firms and </w:t>
      </w:r>
      <w:proofErr w:type="spellStart"/>
      <w:r w:rsidRPr="00265E8C">
        <w:rPr>
          <w:color w:val="000000" w:themeColor="text1"/>
        </w:rPr>
        <w:t>hyperscalers</w:t>
      </w:r>
      <w:proofErr w:type="spellEnd"/>
    </w:p>
    <w:p w14:paraId="71758203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Talent war in digital skills</w:t>
      </w:r>
    </w:p>
    <w:p w14:paraId="440995EA" w14:textId="77777777" w:rsidR="00265E8C" w:rsidRPr="00265E8C" w:rsidRDefault="00265E8C" w:rsidP="00265E8C">
      <w:pPr>
        <w:rPr>
          <w:color w:val="000000" w:themeColor="text1"/>
        </w:rPr>
      </w:pPr>
      <w:r w:rsidRPr="00265E8C">
        <w:rPr>
          <w:color w:val="000000" w:themeColor="text1"/>
        </w:rPr>
        <w:t>• Regulatory changes in client geographies</w:t>
      </w:r>
    </w:p>
    <w:p w14:paraId="16044F23" w14:textId="77777777" w:rsidR="00265E8C" w:rsidRDefault="00265E8C" w:rsidP="00E710BD">
      <w:pPr>
        <w:rPr>
          <w:b/>
          <w:bCs/>
          <w:color w:val="215E99" w:themeColor="text2" w:themeTint="BF"/>
        </w:rPr>
      </w:pPr>
    </w:p>
    <w:p w14:paraId="1E33FFD6" w14:textId="77777777" w:rsidR="00265E8C" w:rsidRDefault="00265E8C" w:rsidP="00E710BD">
      <w:pPr>
        <w:rPr>
          <w:b/>
          <w:bCs/>
          <w:color w:val="215E99" w:themeColor="text2" w:themeTint="BF"/>
        </w:rPr>
      </w:pPr>
    </w:p>
    <w:p w14:paraId="05B138F8" w14:textId="0F96908C" w:rsidR="00E710BD" w:rsidRPr="009C2ABD" w:rsidRDefault="00E710BD" w:rsidP="00E710BD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lastRenderedPageBreak/>
        <w:t>7. Competitive Positioning</w:t>
      </w:r>
    </w:p>
    <w:p w14:paraId="12DBA6B1" w14:textId="7483658B" w:rsidR="00265E8C" w:rsidRPr="00300BCA" w:rsidRDefault="00300BCA" w:rsidP="00E710BD">
      <w:pPr>
        <w:rPr>
          <w:color w:val="000000" w:themeColor="text1"/>
        </w:rPr>
      </w:pPr>
      <w:r w:rsidRPr="00300BCA">
        <w:rPr>
          <w:color w:val="000000" w:themeColor="text1"/>
        </w:rPr>
        <w:t>TCS stands out with its integrated service model, trusted delivery reputation, and robust innovation platforms.</w:t>
      </w:r>
    </w:p>
    <w:p w14:paraId="0631DFEB" w14:textId="208113A7" w:rsidR="00E710BD" w:rsidRPr="009C2ABD" w:rsidRDefault="00E710BD" w:rsidP="00E710BD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8. ESG &amp; Sustainability</w:t>
      </w:r>
    </w:p>
    <w:p w14:paraId="07E45C98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Sustainability Initiatives:</w:t>
      </w:r>
    </w:p>
    <w:p w14:paraId="5EC0D9E1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• Carbon neutrality commitment by 2030</w:t>
      </w:r>
    </w:p>
    <w:p w14:paraId="27738274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• Green buildings and eco-friendly campuses</w:t>
      </w:r>
    </w:p>
    <w:p w14:paraId="15605D55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 xml:space="preserve">• Energy efficiency in data </w:t>
      </w:r>
      <w:proofErr w:type="spellStart"/>
      <w:r w:rsidRPr="00525CB6">
        <w:rPr>
          <w:color w:val="000000" w:themeColor="text1"/>
        </w:rPr>
        <w:t>centers</w:t>
      </w:r>
      <w:proofErr w:type="spellEnd"/>
      <w:r w:rsidRPr="00525CB6">
        <w:rPr>
          <w:color w:val="000000" w:themeColor="text1"/>
        </w:rPr>
        <w:t xml:space="preserve"> and operations</w:t>
      </w:r>
    </w:p>
    <w:p w14:paraId="2CE93A68" w14:textId="77777777" w:rsidR="00525CB6" w:rsidRPr="00525CB6" w:rsidRDefault="00525CB6" w:rsidP="00525CB6">
      <w:pPr>
        <w:rPr>
          <w:color w:val="000000" w:themeColor="text1"/>
        </w:rPr>
      </w:pPr>
    </w:p>
    <w:p w14:paraId="0A7267EC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CSR and Social Impact:</w:t>
      </w:r>
    </w:p>
    <w:p w14:paraId="62098ECA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• Adult literacy, STEM education, and skilling programs</w:t>
      </w:r>
    </w:p>
    <w:p w14:paraId="23B7D538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• TCS Digital Empowers – Tech for social good initiative</w:t>
      </w:r>
    </w:p>
    <w:p w14:paraId="5E7B8628" w14:textId="77777777" w:rsidR="00525CB6" w:rsidRPr="00525CB6" w:rsidRDefault="00525CB6" w:rsidP="00525CB6">
      <w:pPr>
        <w:rPr>
          <w:color w:val="000000" w:themeColor="text1"/>
        </w:rPr>
      </w:pPr>
      <w:r w:rsidRPr="00525CB6">
        <w:rPr>
          <w:color w:val="000000" w:themeColor="text1"/>
        </w:rPr>
        <w:t>• Women empowerment and rural development through TCS Foundation</w:t>
      </w:r>
    </w:p>
    <w:p w14:paraId="2F728485" w14:textId="77777777" w:rsidR="00300BCA" w:rsidRDefault="00300BCA" w:rsidP="00E710BD">
      <w:pPr>
        <w:rPr>
          <w:b/>
          <w:bCs/>
          <w:color w:val="215E99" w:themeColor="text2" w:themeTint="BF"/>
        </w:rPr>
      </w:pPr>
    </w:p>
    <w:p w14:paraId="252DFE20" w14:textId="3AD24374" w:rsidR="00E710BD" w:rsidRPr="009C2ABD" w:rsidRDefault="00E710BD" w:rsidP="00E710BD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9. Recent Developments</w:t>
      </w:r>
    </w:p>
    <w:p w14:paraId="01AF3323" w14:textId="77777777" w:rsidR="004220E4" w:rsidRPr="004220E4" w:rsidRDefault="004220E4" w:rsidP="004220E4">
      <w:pPr>
        <w:rPr>
          <w:color w:val="000000" w:themeColor="text1"/>
        </w:rPr>
      </w:pPr>
      <w:r w:rsidRPr="004220E4">
        <w:rPr>
          <w:color w:val="000000" w:themeColor="text1"/>
        </w:rPr>
        <w:t xml:space="preserve">• Launched AI-powered tools within TCS ADD and </w:t>
      </w:r>
      <w:proofErr w:type="spellStart"/>
      <w:r w:rsidRPr="004220E4">
        <w:rPr>
          <w:color w:val="000000" w:themeColor="text1"/>
        </w:rPr>
        <w:t>ignio</w:t>
      </w:r>
      <w:proofErr w:type="spellEnd"/>
    </w:p>
    <w:p w14:paraId="3949822F" w14:textId="77777777" w:rsidR="004220E4" w:rsidRPr="004220E4" w:rsidRDefault="004220E4" w:rsidP="004220E4">
      <w:pPr>
        <w:rPr>
          <w:color w:val="000000" w:themeColor="text1"/>
        </w:rPr>
      </w:pPr>
      <w:r w:rsidRPr="004220E4">
        <w:rPr>
          <w:color w:val="000000" w:themeColor="text1"/>
        </w:rPr>
        <w:t>• Won large transformation deal from BSNL (India telecom)</w:t>
      </w:r>
    </w:p>
    <w:p w14:paraId="54140EF4" w14:textId="77777777" w:rsidR="004220E4" w:rsidRPr="004220E4" w:rsidRDefault="004220E4" w:rsidP="004220E4">
      <w:pPr>
        <w:rPr>
          <w:color w:val="000000" w:themeColor="text1"/>
        </w:rPr>
      </w:pPr>
      <w:r w:rsidRPr="004220E4">
        <w:rPr>
          <w:color w:val="000000" w:themeColor="text1"/>
        </w:rPr>
        <w:t>• Opened innovation hubs in Amsterdam and Dallas</w:t>
      </w:r>
    </w:p>
    <w:p w14:paraId="273B7311" w14:textId="208E9B3B" w:rsidR="00525CB6" w:rsidRPr="004220E4" w:rsidRDefault="004220E4" w:rsidP="004220E4">
      <w:pPr>
        <w:rPr>
          <w:color w:val="000000" w:themeColor="text1"/>
        </w:rPr>
      </w:pPr>
      <w:r w:rsidRPr="004220E4">
        <w:rPr>
          <w:color w:val="000000" w:themeColor="text1"/>
        </w:rPr>
        <w:t>• Partnered with Google Cloud and Microsoft for AI innovation</w:t>
      </w:r>
    </w:p>
    <w:p w14:paraId="458CA27E" w14:textId="2629A8BF" w:rsidR="00E710BD" w:rsidRPr="009C2ABD" w:rsidRDefault="00E710BD" w:rsidP="00E710BD">
      <w:pPr>
        <w:rPr>
          <w:b/>
          <w:bCs/>
          <w:color w:val="215E99" w:themeColor="text2" w:themeTint="BF"/>
        </w:rPr>
      </w:pPr>
      <w:r w:rsidRPr="009C2ABD">
        <w:rPr>
          <w:b/>
          <w:bCs/>
          <w:color w:val="215E99" w:themeColor="text2" w:themeTint="BF"/>
        </w:rPr>
        <w:t>10. Conclusion</w:t>
      </w:r>
    </w:p>
    <w:p w14:paraId="0380C5CC" w14:textId="0A8D54EF" w:rsidR="00CE619E" w:rsidRDefault="0059402F">
      <w:r w:rsidRPr="0059402F">
        <w:t>TCS remains a trusted global technology partner delivering resilient, scalable, and innovative solutions. With a consistent focus on people, technology, and sustainability, TCS is positioned strongly for the next phase of digital evolution, maintaining its leadership in the global IT services landscape.</w:t>
      </w:r>
    </w:p>
    <w:sectPr w:rsidR="00CE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9E"/>
    <w:rsid w:val="00082868"/>
    <w:rsid w:val="000B16FF"/>
    <w:rsid w:val="001D2020"/>
    <w:rsid w:val="002119AF"/>
    <w:rsid w:val="00265E8C"/>
    <w:rsid w:val="002918D5"/>
    <w:rsid w:val="00300BCA"/>
    <w:rsid w:val="00340411"/>
    <w:rsid w:val="00352C7A"/>
    <w:rsid w:val="003B6C74"/>
    <w:rsid w:val="0040068F"/>
    <w:rsid w:val="004220E4"/>
    <w:rsid w:val="00472D31"/>
    <w:rsid w:val="00525CB6"/>
    <w:rsid w:val="005303D1"/>
    <w:rsid w:val="0059402F"/>
    <w:rsid w:val="005C518A"/>
    <w:rsid w:val="00634B35"/>
    <w:rsid w:val="007063F0"/>
    <w:rsid w:val="0071787C"/>
    <w:rsid w:val="008134B2"/>
    <w:rsid w:val="00850C57"/>
    <w:rsid w:val="008C64FA"/>
    <w:rsid w:val="009A5AAC"/>
    <w:rsid w:val="009C2ABD"/>
    <w:rsid w:val="009E4B07"/>
    <w:rsid w:val="00BB6BA4"/>
    <w:rsid w:val="00CE619E"/>
    <w:rsid w:val="00DD30AB"/>
    <w:rsid w:val="00E00DF3"/>
    <w:rsid w:val="00E052AD"/>
    <w:rsid w:val="00E27D4D"/>
    <w:rsid w:val="00E30102"/>
    <w:rsid w:val="00E50641"/>
    <w:rsid w:val="00E57A90"/>
    <w:rsid w:val="00E710BD"/>
    <w:rsid w:val="00E7773D"/>
    <w:rsid w:val="00E96F93"/>
    <w:rsid w:val="00ED1D1B"/>
    <w:rsid w:val="00ED4125"/>
    <w:rsid w:val="00FE47AE"/>
    <w:rsid w:val="00FF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6AF5"/>
  <w15:chartTrackingRefBased/>
  <w15:docId w15:val="{F66A95D4-3596-446B-9A17-4E0BC9BB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1606</dc:creator>
  <cp:keywords/>
  <dc:description/>
  <cp:lastModifiedBy>pallavi 1606</cp:lastModifiedBy>
  <cp:revision>38</cp:revision>
  <cp:lastPrinted>2025-04-25T11:22:00Z</cp:lastPrinted>
  <dcterms:created xsi:type="dcterms:W3CDTF">2025-04-25T08:16:00Z</dcterms:created>
  <dcterms:modified xsi:type="dcterms:W3CDTF">2025-04-25T11:22:00Z</dcterms:modified>
</cp:coreProperties>
</file>