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quantify_modularity_data_quality</w:t>
      </w:r>
    </w:p>
    <w:p>
      <w:r>
        <w:t xml:space="preserve"> </w:t>
      </w:r>
    </w:p>
    <w:p>
      <w:pPr>
        <w:pStyle w:val="Heading2"/>
      </w:pPr>
      <w:r>
        <w:t>Title</w:t>
      </w:r>
    </w:p>
    <w:p>
      <w:r>
        <w:t>Quantifying modularity effects in product families via validated measurement, structured data schemas, simulation calibration, and quasi-experimental causal analysis</w:t>
      </w:r>
    </w:p>
    <w:p>
      <w:r>
        <w:t xml:space="preserve"> </w:t>
      </w:r>
    </w:p>
    <w:p>
      <w:pPr>
        <w:pStyle w:val="Heading2"/>
      </w:pPr>
      <w:r>
        <w:t>Short Hypothesis</w:t>
      </w:r>
    </w:p>
    <w:p>
      <w:r>
        <w:t>Improving data quality and structured metadata mapping for product-family artifacts causally reduces measurement error and reveals that higher interface specification quality leads to lower marginal variant cost.</w:t>
      </w:r>
    </w:p>
    <w:p>
      <w:r>
        <w:t xml:space="preserve"> </w:t>
      </w:r>
    </w:p>
    <w:p>
      <w:pPr>
        <w:pStyle w:val="Heading2"/>
      </w:pPr>
      <w:r>
        <w:t>Related Work</w:t>
      </w:r>
    </w:p>
    <w:p>
      <w:r>
        <w:t>Existing work on modularity uses lab experiments, simulations, surveys, and archival studies to estimate effects of modular design on reuse, cost, and time-to-market. Lab studies provide causal leverage but scale poorly and often use ad hoc rubrics. Simulation studies explore large design spaces but depend on unverifiable priors. Archival/industry analyses are rich but suffer from heterogeneous schemas, missing metadata, measurement error, and endogeneity (reverse causality and omitted variables). Prior measurement efforts lack validated instruments (reliability and construct validity) and canonical data mappings linking BOM/CAD/PLM to interface records and variant manifests. Common limitations are: nonstandard metrics, uncorrected attenuation due to measurement error, weak or undocumented ETL (extract-transform-load) steps, and lack of pre-registered identification strategies. These gaps produce biased, non-reproducible estimates and limit transportability across domains.</w:t>
      </w:r>
    </w:p>
    <w:p>
      <w:r>
        <w:t xml:space="preserve"> </w:t>
      </w:r>
    </w:p>
    <w:p>
      <w:pPr>
        <w:pStyle w:val="Heading2"/>
      </w:pPr>
      <w:r>
        <w:t>Abstract</w:t>
      </w:r>
    </w:p>
    <w:p>
      <w:r>
        <w:t>Quantifying how modularity affects product-family outcomes is hindered by poor data quality, inconsistent metadata, and unvalidated measurement. This project combines four components to address that problem: (1) validated measurement instruments for interface quality, governance maturity, and module cohesion using CFA (confirmatory factor analysis, a statistical test that checks if observed items measure intended latent traits) and IRT (item response theory, which models how rubric items relate to underlying scores); (2) canonical data schemas and ETL mappings for BOM/CAD/PLM/VC/test logs to produce structured metadata; (3) a calibrated simulator that produces realistic synthetic logs to derive priors and power targets; and (4) pre-registered causal analyses including randomized lab factorials and quasi-experimental DID/panel models with Bayesian measurement-error correction. The main contribution is an open, reproducible toolkit (rubrics, schemas, synthetic benchmark, validation scripts) that turns messy industrial artifacts into defensible measurements for causal inference. Expected outcome: more accurate, transportable estimates of modularity effects enabling better modular design decisions.</w:t>
      </w:r>
    </w:p>
    <w:p>
      <w:r>
        <w:t xml:space="preserve"> </w:t>
      </w:r>
    </w:p>
    <w:p>
      <w:pPr>
        <w:pStyle w:val="Heading2"/>
      </w:pPr>
      <w:r>
        <w:t>Experiments</w:t>
      </w:r>
    </w:p>
    <w:p>
      <w:r>
        <w:t>Datasets: (A) synthetic benchmark (5 modules, 3 variants, 12 interface records, PLM/VC/CI logs, defect traces) produced by simulator; (B) lab data: pilot 12 engineering teams, main lab ≈108–120 team-level observations assigned to 2x2 factorial (interface quality: high/low × granularity: coarse/fine); (C) industry archival data: longitudinal PLM/BOM/CAD/VC/test logs from ≥10 firms across automotive, consumer electronics, industrial automation, including at least 30 treated product-lines and 30 matched controls spanning ≥4 pre/post release cycles; (D) firm panels: 10–20 firms with ≥6 cycles. Baselines: (1) naive analysis using raw, unharmonized data and simple OLS/FE models; (2) harmonized data without measurement correction; (3) harmonized + measurement-correction but without simulation priors. Evaluation metrics: estimation bias and RMSE of causal effect in synthetic-data experiments (synthetic ground truth); coverage of 95% confidence/credible intervals; ICC for inter-rater reliability (target ICC&gt;0.75) and Cohen's kappa for categorical items (&gt;0.7); CFA fit indices with thresholds (CFI&gt;0.95, TLI&gt;0.95, RMSEA&lt;0.06); primary substantive outcomes: reuse rate (fraction reused modules), marginal variant cost, integration defects per variant, and time-to-market. Experimental setup: Step 1 instrument validation: double-blind annotation of n=30 artifacts, iterative refinement until ICC/kappa thresholds met; run IRT to calibrate item parameters. Step 2 ETL and harmonization: implement canonical schemas and automated validators. Step 3 simulator calibration: match empirical distributions (module-size, churn) using prior predictive checks. Step 4 lab factorial: random assignment, ANOVA and mediation SEM (interface quality → reuse → cost). Step 5 field causal tests: coarsened-exact-matching + staggered-adoption DiD with event-study graphs, and multilevel Bayesian models that embed measurement-error correction (latent-variable SEM). Ablation studies: A1 remove IRT-based rater severity correction; A2 remove semantic harmonization mapping; A3 remove simulator-informed priors; compare bias, RMSE, coverage, and substantive estimates across ablations.</w:t>
      </w:r>
    </w:p>
    <w:p>
      <w:r>
        <w:t xml:space="preserve"> </w:t>
      </w:r>
    </w:p>
    <w:p>
      <w:pPr>
        <w:pStyle w:val="Heading2"/>
      </w:pPr>
      <w:r>
        <w:t>Risk Factors And Limitations</w:t>
      </w:r>
    </w:p>
    <w:p>
      <w:r>
        <w:t>1) Recruitment and data access: firms may decline data sharing or supply incomplete/low-fidelity logs, limiting sample sizes and representativeness. 2) Measurement failure: rubrics may not reach reliability targets (ICC&lt;0.75), making latent correction unstable. 3) Heterogeneous schemas: irreversible semantic mismatches across firms can break canonical mappings and create systematic bias. 4) Endogeneity: available instruments (regulation dates, supplier standards) may violate exclusion restrictions, leaving residual confounding. 5) Simulator mismatch: synthetic data may not match real-world dynamics, leading to misleading priors. 6) Missing data: high rates of missing or censored fields can invalidate MAR assumptions and bias imputations. 7) Scalability and compute: Bayesian multilevel and SEM models with measurement correction can be computationally heavy for large panels. 8) Generalization limits: results may not transport beyond industries with mature digital engineering toolchains; smaller firms and low-digitization contexts are out of scope.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