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shrinkflation_japan_cpi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shrinkflation's effect on Japan's consumer price index using scanner data, hedonic quality adjustment, and NLP/image-based package change detection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Manufacturer-driven reductions in package size (shrinkflation) increase measured per-unit prices and cause a positive bias in Japan's CPI unless detected and adjusted, i.e., covert size reductions cause higher measured inflation absent nominal price changes.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measuring shrinkflation and price change include: (1) traditional CPI methods that treat product items at face value and use manual quality adjustments, which can miss covert package-size changes; (2) scanner/POS-based unit-value analyses that compute price per unit (price/gram or price/mL) but often suffer from panel coverage bias and mismatches across SKUs; (3) hedonic regression methods that control for observable product attributes to adjust prices for quality differences, but they rely on structured attributes and can miss packaging or ingredient shifts; (4) recent NLP and image-recognition studies that detect product changes from web or shelf images but are limited by small annotated datasets and domain shift across retailers; (5) IO and behavioral models that explain firm incentives for shrinkflation but often lack micro-level verification across many SKUs. Limitations across methods include promotion confounding (promotional bundles vs permanent shrinkage), inadequate multipack apportionment rules, instrument exogeneity challenges for causal inference, and weak cross-country SKU harmonization.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covert package-size reductions (shrinkflation) affect measured inflation in Japan and propose a reproducible pipeline to detect, measure, and adjust CPI estimates. We combine high-frequency scanner/POS panels, CPI microdata, web-scraped product images and text, and global input price indices. We apply NLP and image classifiers to flag verified package-size changes, translate prices into harmonized per-unit metrics (price per gram/mL), and use hedonic regressions (statistical models that control for product features) to separate nominal price changes from size or formulation changes. Causal attribution uses event-study and IV strategies with instruments like polymer/paper and commodity shocks. Main contributions: a validated shrinkage detector, predeclared hedonic and apportionment rules, and CPI adjustment factors with uncertainty estimates. Expected outcomes: quantified shrinkflation prevalence, corrected per-unit price growth, welfare-relevant metrics, and a reproducible protocol suitable for statistical offices to reduce bias in official inflation statistics.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scanner/POS panel covering 30–50 retailers and ~5,000 SKUs per country for 24 months pre/post; (2) CPI microdata and item definitions from the Statistics Bureau; (3) national household expenditure survey for raking/IPW weighting; (4) web-scraped product images and text from major e-commerce (Amazon, Rakuten) and manufacturer sites; (5) commodity/input price series (polymer, paper, wheat, sugar, oil), freight rates, bilateral exchange rates; (6) firm filings and promotion calendars. Annotation: label 2,000–5,000 image/text pairs stratified by category for package-size change, promotion, and formulation change. Baselines: (A) official CPI without unit-normalization; (B) unit-value per-unit index without hedonic adjustment; (C) hedonic model without NLP/image attributes; (D) shrinkage detector using text-only or image-only classifiers. Models and estimands: (1) shrinkage classifier evaluated by precision, recall, F1; (2) per-unit price growth delta and contribution to CPI in percentage points; (3) event-study (product×store fixed effects; fixed effects = controls for unobserved constant product-store traits) with Sun–Abraham staggered-DiD correction (method to handle events happening at different times); (4) IV regressions instrumenting packaging change exposure with polymer/paper and commodity price shocks, with pre-specified lags (instruments lagged 1–6 months) and overidentification tests (Hansen J) for exogeneity; (5) hedonic regressions controlling for product-variant FE, pack size, formulation, brand, promotion; (6) welfare calculation: compensating variation (money needed to keep utility constant) computed from nested-CES demand (nested Constant Elasticity of Substitution: a demand model where products group by similarity) with priors on own-price elasticity in [−1,−3]. Evaluation metrics: classifier precision/recall/F1; bias in per-unit price growth (absolute and relative); CPI contribution (pp) with 95% CI; IV first-stage F-stat; Hansen J p-value; Monte‑Carlo MDE and power grids across rho={0.3,0.6} and intra-cluster corr={0.05,0.2}; sensitivity of welfare CV to elasticity priors. Ablations: (i) remove NLP/image attributes from hedonic specification; (ii) ignore promotion classifier; (iii) unweighted vs raked/IPW scanner panels; (iv) alternate multipack apportionment rules. Reproducibility: release annotation schema, pre-analysis plan, Monte‑Carlo code, and synthetic microdata.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coverage bias: scanner panels may underrepresent private labels or rural stores, causing biased prevalence estimates (example: private-label shrinkage unseen). 2) NLP/image misclassification: classifier errors (false positives/negatives) can mislabel promotions as shrinkage; domain shift across retailers can reduce accuracy. 3) Promotion confounding: short-term promotional bundles or size-limited editions may be mistaken for permanent shrinkage. 4) Instrument validity: polymer/commodity price shocks might affect local demand and thus violate exclusion restrictions (threat to causal claims). 5) Hedonic misspecification: omitted product attributes or incorrect multipack apportionment rules can bias adjusted price growth. 6) Welfare sensitivity: compensating-variation estimates depend strongly on demand elasticity priors, limiting precise welfare claims. 7) Legal and privacy constraints: licensing costs and data-use agreements may restrict sample size and reproducibility. 8) Compute and scale: training image/NLP models and processing 10–50 TB may be costly and slow. 9) External validity: results from Japanese market and selected categories (FMCG) may not generalize to all countries or durable goods.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