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unequal_age_household_cee</w:t>
      </w:r>
    </w:p>
    <w:p>
      <w:r>
        <w:t xml:space="preserve"> </w:t>
      </w:r>
    </w:p>
    <w:p>
      <w:pPr>
        <w:pStyle w:val="Heading2"/>
      </w:pPr>
      <w:r>
        <w:t>Title</w:t>
      </w:r>
    </w:p>
    <w:p>
      <w:r>
        <w:t>Decomposing income inequality by age and household type in Central and Eastern Europe using linked survey-administrative data, spatial small-area models and microsimulation</w:t>
      </w:r>
    </w:p>
    <w:p>
      <w:r>
        <w:t xml:space="preserve"> </w:t>
      </w:r>
    </w:p>
    <w:p>
      <w:pPr>
        <w:pStyle w:val="Heading2"/>
      </w:pPr>
      <w:r>
        <w:t>Short Hypothesis</w:t>
      </w:r>
    </w:p>
    <w:p>
      <w:r>
        <w:t>Linking administrative pension records to survey microdata and applying household pooling adjustments causally reduces measured old-age income inequality (Gini) for single elderly households in CEE countries between 2005 and 2022 compared with estimates from survey data alone.</w:t>
      </w:r>
    </w:p>
    <w:p>
      <w:r>
        <w:t xml:space="preserve"> </w:t>
      </w:r>
    </w:p>
    <w:p>
      <w:pPr>
        <w:pStyle w:val="Heading2"/>
      </w:pPr>
      <w:r>
        <w:t>Related Work</w:t>
      </w:r>
    </w:p>
    <w:p>
      <w:r>
        <w:t>Existing studies on age-related inequality rely mainly on survey microdata or harmonized cross-country databases. Survey-only approaches are vulnerable to underreporting of pension and informal earnings, producing biased inequality measures. Microsimulation studies model policy counterfactuals but often use limited behavioral calibration and do not consistently validate with administrative records. Small-area estimation methods (spatial hierarchical models) increase geographic precision but raise disclosure and smoothing trade-offs. Decomposition techniques (GE, Gini subgroup contributions, Shapley, RIF-regressions) identify drivers of inequality but are sensitive to equivalence scales and pooling assumptions. Causal analyses of pension reforms use RD/DiD/IV designs but face challenges from staggered timings, spillovers, and weak instruments. Bounding approaches (Manski-style) address measurement uncertainty but are rarely integrated with microsimulation or spatial models. Limitations include measurement bias, non-random linkage of admin subsamples, opaque prior choices in hierarchical pooling, and insufficient formal disclosure controls for small-area outputs.</w:t>
      </w:r>
    </w:p>
    <w:p>
      <w:r>
        <w:t xml:space="preserve"> </w:t>
      </w:r>
    </w:p>
    <w:p>
      <w:pPr>
        <w:pStyle w:val="Heading2"/>
      </w:pPr>
      <w:r>
        <w:t>Abstract</w:t>
      </w:r>
    </w:p>
    <w:p>
      <w:r>
        <w:t>This study measures how demographic aging and household composition shape income inequality by combining linked administrative pension records with harmonized survey microdata for Central and Eastern European countries from 2005 to 2022. We integrate three components: (1) survey-admin linkage and validation to reduce pension and informal earnings misreporting; (2) spatial small-area estimation (Bayesian hierarchical BYM2 models) to map inequality by age and household type; and (3) microsimulation calibrated with behavioral parameters to simulate policy reforms. The main contribution is a reproducible pipeline that propagates measurement uncertainty (Manski bounds and Bayesian imputation), tests alternative household pooling rules and equivalence scales, and produces distributional and fiscal impact estimates with uncertainty bands. Expected outcomes include revised inequality estimates by age and household type, validated behavioral elasticities for pension responses, spatially explicit policy counterfactuals, and cost-effectiveness metrics (inequality change per public euro). Findings will improve comparability across countries and inform targeted pension and transfer policies for single elderly households.</w:t>
      </w:r>
    </w:p>
    <w:p>
      <w:r>
        <w:t xml:space="preserve"> </w:t>
      </w:r>
    </w:p>
    <w:p>
      <w:pPr>
        <w:pStyle w:val="Heading2"/>
      </w:pPr>
      <w:r>
        <w:t>Experiments</w:t>
      </w:r>
    </w:p>
    <w:p>
      <w:r>
        <w:t>Datasets: EU-SILC harmonized microdata (2005–2022), LIS where available, country administrative pension registers in Estonia, Latvia, Lithuania, Czechia, Poland, Slovenia, Hungary, Slovakia, Romania (subject to access), and area-level covariates (NUTS3/LAU2). Baselines: (A) survey-only estimates with standard weights; (B) survey estimates with Manski bounds only; (C) microsimulation calibrated without admin linkage; (D) spatial estimation with no pooling. Primary methods: link admin pensions to survey records where allowed, implement Bayesian multiple imputation for missing/informal earnings, estimate BYM2 small-area models for equivalized disposable income by age and household type, run RIF-regressions for Gini and Atkinson, implement Shapley decompositions, and run microsimulation counterfactuals with ≥1,000 Monte Carlo draws. Evaluation metrics: Gini coefficient, Atkinson index (epsilon=1), poverty gap (60% median), mean equivalized income by age-household type, RMSE and bias of imputed incomes relative to admin, first-stage F-statistics for IVs, placebo p-values for RD/DiD, and Monte Carlo confidence intervals. Experimental setup: pre-register pooling scenarios (no pooling, partial adult pooling, full pooling) and equivalence scales (OECD-modified, square-root, CEE-adjusted). Causal tests: fuzzy RD at pension eligibility or cohort cutoffs, staggered DiD with Callaway &amp; Sant'Anna estimator, and IV using eligibility exposure; report bandwidth choices, local-linear estimates, and bias-corrected CIs. Ablation studies: (1) remove admin linkage to measure bias in inequality metrics; (2) compare results under three pooling rules; (3) vary prior strength in BYM2 (no pooling vs weak vs strong) to test sensitivity of small-area estimates; (4) compare microsimulation with and without behavioral elasticities. Power and sample thresholds: document MDE tables and require effective subgroup sample ≥200 for direct NUTS3 estimates; otherwise rely on small-area models.</w:t>
      </w:r>
    </w:p>
    <w:p>
      <w:r>
        <w:t xml:space="preserve"> </w:t>
      </w:r>
    </w:p>
    <w:p>
      <w:pPr>
        <w:pStyle w:val="Heading2"/>
      </w:pPr>
      <w:r>
        <w:t>Risk Factors And Limitations</w:t>
      </w:r>
    </w:p>
    <w:p>
      <w:r>
        <w:t>Data access risk: administrative pension linkage may be denied or partial, producing non-random linked subsamples and selection bias. Measurement risk: persistent underreporting of informal earnings or pensions may remain even after imputation and bounds. Representativeness risk: linked validation sets may differ on unobserved dimensions (selection on observables may not correct this). Causal identification limits: RD/DiD/IV assumptions may fail due to anticipation, spillovers, weak instruments, or staggered policy timing. Prior and pooling sensitivity: hierarchical pooling choices (hyperprior for cross-country variance) can materially affect small-area estimates. Disclosure risk: small-area outputs increase re-identification risk and may require suppression or synthetic data, which reduces utility. Compute and scalability: full microsimulation with ≥1,000 Monte Carlo draws is computationally intensive (hundreds to thousands of CPU-hours per country). External validity: results for prioritized CEE countries may not generalize to other regions or non-pension income contexts. Policy interpretation: measured changes in inequality reflect measurement and model assumptions and may not equal real-world welfare changes.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