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organic_fielddays_innovations_eval</w:t>
      </w:r>
    </w:p>
    <w:p>
      <w:r>
        <w:t xml:space="preserve"> </w:t>
      </w:r>
    </w:p>
    <w:p>
      <w:pPr>
        <w:pStyle w:val="Heading2"/>
      </w:pPr>
      <w:r>
        <w:t>Title</w:t>
      </w:r>
    </w:p>
    <w:p>
      <w:r>
        <w:t>Within-farm randomized strip trials integrated with stakeholder surveys to evaluate agronomic, ecological, and acceptance outcomes of organic farming innovations in Germany</w:t>
      </w:r>
    </w:p>
    <w:p>
      <w:r>
        <w:t xml:space="preserve"> </w:t>
      </w:r>
    </w:p>
    <w:p>
      <w:pPr>
        <w:pStyle w:val="Heading2"/>
      </w:pPr>
      <w:r>
        <w:t>Short Hypothesis</w:t>
      </w:r>
    </w:p>
    <w:p>
      <w:r>
        <w:t>Legume-rich multispecies cover crop mixtures increase subsequent cereal establishment rate and reduce spring weed density compared with single-species rye or vetch cover crops under organic management.</w:t>
      </w:r>
    </w:p>
    <w:p>
      <w:r>
        <w:t xml:space="preserve"> </w:t>
      </w:r>
    </w:p>
    <w:p>
      <w:pPr>
        <w:pStyle w:val="Heading2"/>
      </w:pPr>
      <w:r>
        <w:t>Related Work</w:t>
      </w:r>
    </w:p>
    <w:p>
      <w:r>
        <w:t>Prior work on organic farming innovations emphasizes sustainable practices such as cover crops, crop diversity, integrated nutrient management, soil-health improvements, reduced tillage, and mechanical weed control. Many studies use observational designs, farmer surveys, or single-site experiments. Common limitations are small sample sizes, limited within-farm randomization, weak linkage between farmer attitudes and field-measured outcomes, sparse ecological indicator sets (for example, few studies track soil organic carbon stratification or N leaching proxies), limited economic cost accounting, and low reproducibility due to missing pre-registration, inconsistent SOPs, and ad hoc analysis scripts. Existing approaches often do not combine randomized field trials at scale with representative stakeholder surveys, nested ecological monitoring, and transparent, containerized data pipelines, leaving open questions on causal effects, heterogeneity of returns, and policy-relevant welfare impacts.</w:t>
      </w:r>
    </w:p>
    <w:p>
      <w:r>
        <w:t xml:space="preserve"> </w:t>
      </w:r>
    </w:p>
    <w:p>
      <w:pPr>
        <w:pStyle w:val="Heading2"/>
      </w:pPr>
      <w:r>
        <w:t>Abstract</w:t>
      </w:r>
    </w:p>
    <w:p>
      <w:r>
        <w:t>This study evaluates which organic-farming innovations are agronomically effective and socially acceptable by combining within-farm randomized strip trials with a structured survey of attendees at German organic field days. The core method is randomized comparisons within farms (strip trials) for prioritized innovations: multispecies legume-rich cover crops, reduced tillage transition, mechanical weeding sequences, and banded versus broadcast nutrient placement. Trials are linked to stakeholder surveys via anonymized farm IDs and a synchronized sampling schedule. Primary contributions are (1) causal estimates of treatment effects on establishment, weed pressure, yield, soil and nitrogen indicators using mixed-effects models, (2) nested ecological monitoring and economic partial budgets to quantify environmental and welfare trade-offs, and (3) reproducible SOPs, pre-registration, and containerized analysis pipelines to ensure transparent inference. Expected outcomes include actionable effect-size estimates, estimates of adoption drivers and heterogeneity, and a pilot-ready protocol for scaling evidence-based organic innovations.</w:t>
      </w:r>
    </w:p>
    <w:p>
      <w:r>
        <w:t xml:space="preserve"> </w:t>
      </w:r>
    </w:p>
    <w:p>
      <w:pPr>
        <w:pStyle w:val="Heading2"/>
      </w:pPr>
      <w:r>
        <w:t>Experiments</w:t>
      </w:r>
    </w:p>
    <w:p>
      <w:r>
        <w:t>Datasets: (a) Stakeholder survey of organic field day attendees capturing farm structure, attitudes, and self-reported adoption (stratified by Länder, farm size, cropping intensity). (b) Field trial data from recruited organic farms with randomized strip treatments and repeated measures. (c) Nested ecological subsample with lab assays (SOC 0–10 and 10–30 cm, particulate organic matter, aggregate stability, mineral N by 2 M KCl, resin strips for plant-available N, microbial biomass, earthworm handsorts, weed seedbank emergence assays, targeted N2O chamber fluxes) and economic records (labor time-use diaries, input costs, machinery annualized costs, output prices). Baselines: single-species cover crop (rye or vetch), conventional plough tillage, single-pass mechanical weeding, broadcast compost/slurry. Sample sizes: cover-crop trial 50–60 farms × 3 within-field replications (≈150–180 strip pairs), reduced-tillage 30–40 paired farms over 3 years, mechanical weeding factorial on 30 farms with 3 reps, nutrient-placement split strips on 30–40 farms. Evaluation metrics: cereal establishment rate (percent established plants per m2), weed density (plants m−2), weed biomass (g m−2), grain yield (t ha−1), spring plant-available N (kg N ha−1 via resin strips), SOC change (%) 0–10 cm, early crop N uptake (kg N ha−1), N leaching proxy (seasonal resin load), earthworm counts (individuals per 0.25 m2), economic net returns (EUR ha−1). Statistical analysis: pre-registered mixed-effects models with farm random intercepts (random effects capture between-farm baseline differences), fixed treatment effects, covariates (soil texture, previous crop, sowing date), cluster-robust SEs; report effect estimates, 95% CI, ICC (intra-class correlation; a measure of similarity within farms), and design effect. Missing data: multiple imputation with &gt;=20 imputations tied to fraction missing. Comparison and ablation studies: (1) Primary comparison multispecies vs single-species cover crops. (2) Ablation: analyses with and without baseline covariate adjustment to measure robustness. (3) Factorial ablation for mechanical weeding: tool A vs B × single vs two passes. (4) Adoption analysis comparing trial participants vs survey-only farms using difference-in-differences with staggered rollout and instrumental variables (e.g., proximity to machinery-sharing cooperatives). Pre-specification: register primary endpoints per trial, analysis scripts, interim analysis after year 2 with alpha-spending, and multiplicity control (hierarchical testing for primaries, BH-FDR for secondaries).</w:t>
      </w:r>
    </w:p>
    <w:p>
      <w:r>
        <w:t xml:space="preserve"> </w:t>
      </w:r>
    </w:p>
    <w:p>
      <w:pPr>
        <w:pStyle w:val="Heading2"/>
      </w:pPr>
      <w:r>
        <w:t>Risk Factors And Limitations</w:t>
      </w:r>
    </w:p>
    <w:p>
      <w:r>
        <w:t>Power and assumptions: detectable effects rely on assumed SDs and ICCs; underestimation of ICC or higher attrition reduces power. Temporal scale: meaningful SOC changes may require &gt;3 years to detect at plot scale. Contamination and noncompliance: within-farm treatment spillover and deviations from assigned protocols can bias ITT estimates. Missing and biased data: low survey response rates, selective attrition, and measurement error in farmer-reported costs introduce bias. Lab bottlenecks and QA: limited lab throughput, failed ring-test performance, or high LODs for N2O/resin assays can reduce data quality. Measurement error: field sampling heterogeneity and inconsistent SOP adherence will add noise. External validity: results from recruited organic field-day attendees and pilot Länder may not generalize to all German organic farms or other countries. GDPR and data sharing: fine-scale geodata restrictions limit spatial analysis and public release. Budget and staffing constraints: underestimated person-months or equipment costs may delay sampling windows and reduce sample sizes. Instrumentation failure: N2O chambers or resin strips may miss episodic pulses, producing biased flux estimates. Complexity of integration: linking trial, survey, ecological, and economic data increases pipeline fragility and reproducibility risk.</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