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e_waste_dismantling_cf_accounting</w:t>
      </w:r>
    </w:p>
    <w:p>
      <w:r>
        <w:t xml:space="preserve"> </w:t>
      </w:r>
    </w:p>
    <w:p>
      <w:pPr>
        <w:pStyle w:val="Heading2"/>
      </w:pPr>
      <w:r>
        <w:t>Title</w:t>
      </w:r>
    </w:p>
    <w:p>
      <w:r>
        <w:t>Field-based carbon footprint accounting that links daily facility electricity consumption to daily dismantling volumes for China's e-waste dismantling process</w:t>
      </w:r>
    </w:p>
    <w:p>
      <w:r>
        <w:t xml:space="preserve"> </w:t>
      </w:r>
    </w:p>
    <w:p>
      <w:pPr>
        <w:pStyle w:val="Heading2"/>
      </w:pPr>
      <w:r>
        <w:t>Short Hypothesis</w:t>
      </w:r>
    </w:p>
    <w:p>
      <w:r>
        <w:t>Using daily-matched facility electricity consumption and daily dismantling mass reduces variance and bias in per-tonne greenhouse gas (GHG) emission estimates compared to using monthly or annual averaged electricity data.</w:t>
      </w:r>
    </w:p>
    <w:p>
      <w:r>
        <w:t xml:space="preserve"> </w:t>
      </w:r>
    </w:p>
    <w:p>
      <w:pPr>
        <w:pStyle w:val="Heading2"/>
      </w:pPr>
      <w:r>
        <w:t>Related Work</w:t>
      </w:r>
    </w:p>
    <w:p>
      <w:r>
        <w:t>Existing e-waste carbon and pollutant studies typically use top-down life cycle assessment (LCA) inputs or literature emission factors (EFs) and often aggregate energy use at monthly or annual scales. Field studies of informal recycling have demonstrated high emissions from open burning and acid leaching but are limited by small sample sizes, sparse temporal coverage, non‑standardized sampling, and weak mass balances. Common weaknesses across prior work include: reliance on single-site case studies or convenience samples that limit representativeness; coarse temporal matching between processes and energy use that inflates uncertainty; inconsistent allocation or avoided-burden (substitution) assumptions without market evidence; limited laboratory accreditation or documented QA/QC; and inadequate statistical models for high-variance informal practices. These limitations lead to wide confidence intervals and make policy-sensitive comparisons (e.g., formal vs informal) inconclusive.</w:t>
      </w:r>
    </w:p>
    <w:p>
      <w:r>
        <w:t xml:space="preserve"> </w:t>
      </w:r>
    </w:p>
    <w:p>
      <w:pPr>
        <w:pStyle w:val="Heading2"/>
      </w:pPr>
      <w:r>
        <w:t>Abstract</w:t>
      </w:r>
    </w:p>
    <w:p>
      <w:r>
        <w:t>Problem: Current carbon accounting for e-waste dismantling in China is imprecise because energy use and dismantling activity are not closely matched in time, and informal practices (open burning, acid leaching) introduce high, variable emissions. Approach: Collect daily sub‑metered electricity and daily dismantling mass for five e-waste types at a stratified sample of facilities, pair these time series to compute per‑tonne greenhouse gas (GHG) intensities, and combine field emission measurements for informal processes with hierarchical Bayesian models (a statistical method that pools information across sites while allowing site-specific variation) to produce a detailed dismantling-process inventory. Main contribution: A reproducible, field‑driven accounting method that (1) resolves temporal alignment between electricity and process throughput, (2) quantifies high-variance informal emissions with explicit priors, and (3) documents allocation and substitution scenarios for avoided burdens. Expected outcome: Lower-variance, policy‑usable GHG per-tonne estimates (with transparent uncertainty), defensible substitution sensitivity bounds, and an auditable LCI package for regulators and researchers.</w:t>
      </w:r>
    </w:p>
    <w:p>
      <w:r>
        <w:t xml:space="preserve"> </w:t>
      </w:r>
    </w:p>
    <w:p>
      <w:pPr>
        <w:pStyle w:val="Heading2"/>
      </w:pPr>
      <w:r>
        <w:t>Experiments</w:t>
      </w:r>
    </w:p>
    <w:p>
      <w:r>
        <w:t>Datasets: (1) Field campaign at 8 facilities (4 formal, 4 informal) across 3–4 provinces, with contingency to expand to 10 if between-site CV&gt;30%; (2) daily electricity submeter readings per major device and daily dismantling mass per WEEE type (five types); (3) replicated emission measurements: ~30 open-burn events (5–10 per informal site) and 15–20 acid-bath process replicates; (4) residue composition analyses (ICP‑MS/GC‑MS) and chain-of-custody metadata; (5) national/market data to inform substitution rates. Baselines: (A) Monthly-averaged electricity allocation; (B) literature-only emission factors without site data; (C) mass and economic allocation alternatives to system expansion. Evaluation metrics: per-tonne GWP mean and variance; reduction in posterior variance (%) for key EFs; coverage of 95% credible intervals (proportion containing reconciled mass-balance values); statistical power to detect 20% GWP difference between strata; mass-balance closure rates; Sobol total-order sensitivity indices for drivers. Experimental setup: Temporal linkage experiment comparing daily vs monthly vs annual electricity matching; hierarchical Bayesian model for recovery rates and scarce EFs with priors: recovery ~ Beta(2,2), EFs ~ lognormal (median = literature median, prior CV=1); model dependence via multivariate normal on log throughput/electricity/reagent use; MCMC: four chains, adapt phase 2,000 iterations, sample phase until ≥10,000 effective samples, monitor R̂&lt;1.05; inventory propagation: 10,000 Monte Carlo iterations preserving modeled correlations. Ablation studies: (i) remove hierarchical pooling to quantify effective sample-size gain from pooling; (ii) compare weighting schemes in constrained mass-balance solver (weights = 1/variance vs weights = 1/variance^2) to measure sensitivity of reconciled outputs; (iii) vary substitution rates (metals 100/70/40; plastics 70/50/20) to assess avoided-burden influence. Solver: constrained non-negative least squares (NNLS) with equality on total mass when feasible; numerical tolerances and weight choice recorded and reported.</w:t>
      </w:r>
    </w:p>
    <w:p>
      <w:r>
        <w:t xml:space="preserve"> </w:t>
      </w:r>
    </w:p>
    <w:p>
      <w:pPr>
        <w:pStyle w:val="Heading2"/>
      </w:pPr>
      <w:r>
        <w:t>Risk Factors And Limitations</w:t>
      </w:r>
    </w:p>
    <w:p>
      <w:r>
        <w:t>Technical failure modes: meter or instrument failures causing gaps in daily electricity or emission time series; low detection limits not met for some analytes. Data and access biases: informal sites may refuse access or systematic differences may exist between participating and non-participating sites, limiting representativeness. Statistical limits: small number of facilities relative to classical sample-size formulas may leave low power if between-site heterogeneity remains high; hierarchical pooling assumes exchangeability that may not hold. QA constraints: participating labs may lack ISO/IEC 17025 accreditation, affecting comparability. Scope limits: results are specific to sampled provinces and China market conditions and may not generalize geographically. Computational limits: MCMC chains and hierarchical models may be slow and need substantial compute for ≥10,000 effective samples. Policy sensitivity: avoided-burden credits depend on market assumptions that can change over time and affect conclusions.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