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purpose_renewal_panel_nlp</w:t>
      </w:r>
    </w:p>
    <w:p>
      <w:r>
        <w:t xml:space="preserve"> </w:t>
      </w:r>
    </w:p>
    <w:p>
      <w:pPr>
        <w:pStyle w:val="Heading2"/>
      </w:pPr>
      <w:r>
        <w:t>Title</w:t>
      </w:r>
    </w:p>
    <w:p>
      <w:r>
        <w:t>A mixed-methods NLP-enabled longitudinal panel study of the causal effect of corporate purpose on firm strategic renewal</w:t>
      </w:r>
    </w:p>
    <w:p>
      <w:r>
        <w:t xml:space="preserve"> </w:t>
      </w:r>
    </w:p>
    <w:p>
      <w:pPr>
        <w:pStyle w:val="Heading2"/>
      </w:pPr>
      <w:r>
        <w:t>Short Hypothesis</w:t>
      </w:r>
    </w:p>
    <w:p>
      <w:r>
        <w:t>Higher corporate purpose strength, specificity, and internal alignment cause increased firm-level strategic renewal activity (sensing, seizing, transforming) within two years.</w:t>
      </w:r>
    </w:p>
    <w:p>
      <w:r>
        <w:t xml:space="preserve"> </w:t>
      </w:r>
    </w:p>
    <w:p>
      <w:pPr>
        <w:pStyle w:val="Heading2"/>
      </w:pPr>
      <w:r>
        <w:t>Related Work</w:t>
      </w:r>
    </w:p>
    <w:p>
      <w:r>
        <w:t>Existing research spans two fragmented streams: corporate purpose/CSR and strategic renewal/dynamic capabilities. Prior approaches either rely on hand-coded small-N case studies that show mechanisms but lack generality, or use coarse archival proxies (ESG ratings, single-line mission counts) that miss operational detail and internal alignment. Available NLP work often measures surface signaling (word counts, topic models) without robust validation against internal governance artifacts or corrections for measurement error. Causal work is limited by weak identification: few studies use modern staggered-treatment difference-in-differences, valid instruments, or explicit dose–response models. Cross-language, sectoral, and private-firm measurement invariance are rarely tested. Overall limitations are: weak measurement validity, limited causal credibility, underpowered samples for small effects, and poor reproducibility when proprietary internal data are used.</w:t>
      </w:r>
    </w:p>
    <w:p>
      <w:r>
        <w:t xml:space="preserve"> </w:t>
      </w:r>
    </w:p>
    <w:p>
      <w:pPr>
        <w:pStyle w:val="Heading2"/>
      </w:pPr>
      <w:r>
        <w:t>Abstract</w:t>
      </w:r>
    </w:p>
    <w:p>
      <w:r>
        <w:t>This study tests whether and how corporate purpose drives strategic renewal by combining a systematic review, validated NLP measures, large-N panel econometrics, and purposive process-tracing cases. The problem is that prior work is fragmented and relies on weak measures and limited causal designs. We build reproducible text-derived indices of purpose strength (how prominent and concrete a purpose is), specificity (operational targets and verbs), and internal alignment (semantic similarity between purpose and governance disclosures). We use these indices in a longitudinal panel of publicly listed firms and in-depth cases to link purpose measures to three renewal channels: sensing (opportunity detection), seizing (exploratory investment), and transforming (portfolio and structural change). Main contributions are: (1) validated, shareable NLP measures tied to governance artifacts; (2) causal estimates using modern staggered DiD, dynamic panels, and IV where feasible; (3) integrated qualitative process evidence that maps mechanisms. Expected outcomes are clearer causal evidence on purpose-driven renewal and reusable measurement artifacts for future research.</w:t>
      </w:r>
    </w:p>
    <w:p>
      <w:r>
        <w:t xml:space="preserve"> </w:t>
      </w:r>
    </w:p>
    <w:p>
      <w:pPr>
        <w:pStyle w:val="Heading2"/>
      </w:pPr>
      <w:r>
        <w:t>Experiments</w:t>
      </w:r>
    </w:p>
    <w:p>
      <w:r>
        <w:t>Datasets: (1) Text corpus: annual reports (MD&amp;A), CEO letters, sustainability reports, investor presentations, proxy statements (compensation/KPIs), and press releases for 300–800 publicly listed firms across two institutional contexts, covering 8–12 years; (2) Structured data: Compustat/CRSP financials, patent databases (forward citations), R&amp;D and capex records, M&amp;A/divestiture events, ESG ratings, media sentiment feeds; (3) Validation: hand-coded corpus n=300–500 firm-years and manager survey panel for alignment measures; (4) Cases: 10–15 purposive process-tracing cases with internal documents. Baselines: (A) ESG aggregate score baseline (single index), (B) simple bag-of-words purpose frequency, (C) hand-coded-only models, (D) transformer model without alignment feature. NLP model: fine-tune a domain-adapted transformer (RoBERTa/FinBERT) with a supervised classification head on hand-coded labels; use sentence embeddings for cosine-similarity alignment. Validation: 5-fold cross-validation, held-out firm-years performance, ROC/AUC and Youden threshold selection. Evaluation metrics: NLP: precision, recall, F1, AUC; measurement calibration: calibration plots and Brier score; causal estimates: average treatment effect on the treated (ATT) from staggered DiD (Callaway &amp; Sant’Anna), event-study coefficients, panel coefficient estimates with clustered SEs, hazard ratios from event-history models, first-stage F-statistics for IVs (&gt;10), and confidence intervals. Setup: (1) Construct continuous purpose indices and pre-register dose–response models; (2) Estimate baseline fixed-effects panel regressions: outcome_{i,t+1} = alpha_i + gamma_t + beta * purpose_{i,t} + X_{i,t} + e_{i,t}; (3) Implement staggered DiD with event windows and compute ATT by relative year; (4) Run dynamic-panel Arellano-Bond and bias-corrected LSDV for robustness; (5) IV specification using exogenous disclosure mandates or ESG methodology change as instrument, report LIML/Anderson-Rubin where weak instruments suspected; (6) Mediation tests: path analysis for sensing→seizing→transforming; (7) Ablations: (a) remove specificity feature, (b) remove alignment feature, (c) run models treating purpose as binary (≥75th percentile) vs continuous dosage, (d) omit attenuation correction, (e) thresholds at 0.40 vs ROC-chosen. Report effect sizes, standard errors, p-values, and robustness tables for all specifications.</w:t>
      </w:r>
    </w:p>
    <w:p>
      <w:r>
        <w:t xml:space="preserve"> </w:t>
      </w:r>
    </w:p>
    <w:p>
      <w:pPr>
        <w:pStyle w:val="Heading2"/>
      </w:pPr>
      <w:r>
        <w:t>Risk Factors And Limitations</w:t>
      </w:r>
    </w:p>
    <w:p>
      <w:r>
        <w:t>Identification risk: instruments (disclosure mandates, ESG-method changes) may violate exclusion restrictions, producing biased IV estimates. Reverse causality and simultaneity: renewal activity may change public purpose language before measured effect windows. Measurement error: NLP classification and alignment scores may mislabel ambiguous text, causing attenuation bias. Sample bias: firms granting internal documents may not represent the population (selection bias). Language and sector invariance: NLP models trained on English financial reports may not generalize to other languages or private/family firms with sparse disclosures. Effect size and power: true effects may be small, requiring larger N and long T, raising cost. Compute and storage: transformer training and large-text indexing demand high compute and storage resources. Reproducibility limits: proprietary internal data and NDAs may prevent full public release of raw artifacts, limiting exact replication. Generalization: results for publicly listed firms in studied contexts may not extend to small, private, or non-Western firms.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