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lulc_esv_qianyang</w:t>
      </w:r>
    </w:p>
    <w:p>
      <w:r>
        <w:t xml:space="preserve"> </w:t>
      </w:r>
    </w:p>
    <w:p>
      <w:pPr>
        <w:pStyle w:val="Heading2"/>
      </w:pPr>
      <w:r>
        <w:t>Title</w:t>
      </w:r>
    </w:p>
    <w:p>
      <w:r>
        <w:t>Monte Carlo propagation and spatial-statistical assessment of land use and land cover driven ecosystem service value changes in Qianyang County using PLUS model scenarios</w:t>
      </w:r>
    </w:p>
    <w:p>
      <w:r>
        <w:t xml:space="preserve"> </w:t>
      </w:r>
    </w:p>
    <w:p>
      <w:pPr>
        <w:pStyle w:val="Heading2"/>
      </w:pPr>
      <w:r>
        <w:t>Short Hypothesis</w:t>
      </w:r>
    </w:p>
    <w:p>
      <w:r>
        <w:t>Conversion of cropland or forest to built-up or intensive orchard land in Qianyang County causes a measurable net decrease in aggregated ecosystem service value (ESV) by 2050 under a business-as-usual PLUS model scenario, and this decrease remains statistically significant after propagating classification and coefficient uncertainty (95% credible interval).</w:t>
      </w:r>
    </w:p>
    <w:p>
      <w:r>
        <w:t xml:space="preserve"> </w:t>
      </w:r>
    </w:p>
    <w:p>
      <w:pPr>
        <w:pStyle w:val="Heading2"/>
      </w:pPr>
      <w:r>
        <w:t>Related Work</w:t>
      </w:r>
    </w:p>
    <w:p>
      <w:r>
        <w:t>Prior work maps land use/land cover (LULC) change and estimates ecosystem service value (ESV) using per-epoch classifications and benefit-transfer coefficients. Typical methods use a single best‑guess LULC map per year and plug-in coefficients (deterministic mapping) or run limited sensitivity tests. Other approaches simulate future LULC with cellular automata or patch-growth models but often omit full uncertainty propagation from classification and coefficient sources. Limitations include coarse spatial or temporal resolution, lack of per-pixel class-probability use, insufficient treatment of correlated parameter uncertainty, weak spatial-statistical validation (ignoring spatial autocorrelation), and few studies coupling detailed scenario drivers (socioeconomic/policy) with explainable feature contributions. These gaps leave ESV estimates vulnerable to understating uncertainty and to biased aggregation at management scales.</w:t>
      </w:r>
    </w:p>
    <w:p>
      <w:r>
        <w:t xml:space="preserve"> </w:t>
      </w:r>
    </w:p>
    <w:p>
      <w:pPr>
        <w:pStyle w:val="Heading2"/>
      </w:pPr>
      <w:r>
        <w:t>Abstract</w:t>
      </w:r>
    </w:p>
    <w:p>
      <w:r>
        <w:t>This study quantifies how observed 2007–2022 land use and land cover (LULC) changes affect ecosystem service value (ESV) in Qianyang County and projects outcomes to 2050 under alternative PLUS-model scenarios, while explicitly propagating uncertainty. We combine 30 m per-pixel LULC probability maps (ensemble RF+XGBoost), field and UAV measurements, a harmonized coefficient table with statistical distributions, spatial statistics (semivariograms and blocked validation), and 2,000 Monte Carlo realizations that jointly sample class assignments and ES coefficients. Main contributions are: (1) an end-to-end, reproducible pipeline that produces median and 95% credible-interval ESV maps; (2) spatially explicit convergence and power diagnostics that justify Monte Carlo sample size and field sampling; and (3) scenario-driven trade-off maps that link driver adjustments (e.g., subsidies, protection zones) to ESV trajectories. Expected outcomes are actionable maps and aggregated summaries that show where and how strongly land transitions change ESV, with clear uncertainty bounds to support local land management and policy choices.</w:t>
      </w:r>
    </w:p>
    <w:p>
      <w:r>
        <w:t xml:space="preserve"> </w:t>
      </w:r>
    </w:p>
    <w:p>
      <w:pPr>
        <w:pStyle w:val="Heading2"/>
      </w:pPr>
      <w:r>
        <w:t>Experiments</w:t>
      </w:r>
    </w:p>
    <w:p>
      <w:r>
        <w:t>Datasets: 30 m LULC time series for 2007, 2012, 2017, 2022 (ensemble probability rasters); field/UAV validation points and plot measurements (carbon, SOC, vegetation structure); driver layers (roads, population, irrigation, slope, soil), policy polygons; historical socioeconomic samples. Scenario inputs: PLUS-model parameter sets for 2050 (business-as-usual, farmland-protection, eco-red-line, market-driven). Baselines: (B1) deterministic single-map ESV using best-class per pixel and point coefficient means; (B2) analytical variance propagation using linear approximation (delta method); (B3) reduced Monte Carlo (500 draws). Primary experiment: run 2,000 Monte Carlo realizations; each realization samples per-pixel class from class-probability vector and samples ES coefficients from documented distributions (normal/lognormal/Beta as appropriate), preserving empirical parameter correlations via copula sampling. Aggregate outputs: per-pixel median and 95% credible interval rasters for each ES, and aggregated statistics per township and county. Evaluation metrics: area-adjusted overall accuracy and per-class user's/producer's accuracies with 95% CIs (Olofsson method); classification F1 and AUC; RMSE and bias of aggregated ESV against field-constrained estimates; CI width and coverage (empirical fraction of validation aggregates within 95% CI); convergence diagnostics (relative change in CI width &lt; 1% over 200 additional draws; effective sample size (ESS) from chain-like summaries); change-detection power (minimum detectable area change at 90% power). Ablations: compare 500/1,000/2,000 draws; disable hierarchical pooling of coefficients; sample coefficients independently vs with copula (to test correlation importance); spatial-block vs random validation (to test spatial autocorrelation effects). Compute setup: document CPU, RAM, disk, and GEE quota used and wall time for full pipeline run.</w:t>
      </w:r>
    </w:p>
    <w:p>
      <w:r>
        <w:t xml:space="preserve"> </w:t>
      </w:r>
    </w:p>
    <w:p>
      <w:pPr>
        <w:pStyle w:val="Heading2"/>
      </w:pPr>
      <w:r>
        <w:t>Risk Factors And Limitations</w:t>
      </w:r>
    </w:p>
    <w:p>
      <w:r>
        <w:t>Data gaps or restricted access to field/UAV or socioeconomic data may increase coefficient uncertainty and bias benefit transfer values. Classification errors concentrated in mixed or small-holder patches may inflate ESV CI locally. High spatial autocorrelation in residuals can bias aggregated CIs if not modelled with spatial hierarchical or block methods. Non-linear ES modules (threshold or multiplicative effects) may induce skewed distributions that require full Monte Carlo; analytical approximations may be inaccurate. Computational cost and storage for 2,000 realizations at 30 m are high (RAM, CPU, disk, GEE quotas), limiting repeatability without cloud resources. PLUS model scenario realism depends on correctly specified driver multipliers; mis-specified scenarios lead to misleading policy signals. Results are region-specific; transferability to other regions requires recalibration of coefficients and driver relations. Ethical and legal constraints (household consent, MoUs) can delay socioeconomic data collection and limit data sharing.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