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dvt_prophylaxis_motivation_scale</w:t>
      </w:r>
    </w:p>
    <w:p>
      <w:r>
        <w:t xml:space="preserve"> </w:t>
      </w:r>
    </w:p>
    <w:p>
      <w:pPr>
        <w:pStyle w:val="Heading2"/>
      </w:pPr>
      <w:r>
        <w:t>Title</w:t>
      </w:r>
    </w:p>
    <w:p>
      <w:r>
        <w:t>Development and psychometric validation of a protection-motivation-theory-based scale measuring motivation for postdischarge deep vein thrombosis prophylaxis in hip and knee arthroplasty patients</w:t>
      </w:r>
    </w:p>
    <w:p>
      <w:r>
        <w:t xml:space="preserve"> </w:t>
      </w:r>
    </w:p>
    <w:p>
      <w:pPr>
        <w:pStyle w:val="Heading2"/>
      </w:pPr>
      <w:r>
        <w:t>Short Hypothesis</w:t>
      </w:r>
    </w:p>
    <w:p>
      <w:r>
        <w:t>Higher baseline scores on the protection-motivation-theory-based motivation scale cause higher objective anticoagulant adherence (pharmacy proportion of days covered ≥80%) over the first 6 weeks after discharge.</w:t>
      </w:r>
    </w:p>
    <w:p>
      <w:r>
        <w:t xml:space="preserve"> </w:t>
      </w:r>
    </w:p>
    <w:p>
      <w:pPr>
        <w:pStyle w:val="Heading2"/>
      </w:pPr>
      <w:r>
        <w:t>Related Work</w:t>
      </w:r>
    </w:p>
    <w:p>
      <w:r>
        <w:t>Existing work includes general medication-adherence questionnaires and some condition-specific adherence measures, plus theory-based tools using health-behavior models (e.g., Protection Motivation Theory, Theory of Planned Behavior). Prior instruments often rely on classical test theory (sum scores, Cronbach's alpha) without item response modeling, lack systematic cross-cultural adaptation, and rarely map specific cognitive drivers (threat appraisal, response efficacy, self-efficacy) to objective adherence anchors. Limitations in current approaches: short prophylaxis windows make pharmacy refill measures noisy; many prior scales omit graded-response item modeling (which estimates how well each question separates patients); few studies report longitudinal measurement invariance (stability of the scale over time) or robust differential item functioning (tests that items work the same across languages, age groups, or surgery type). There is also limited use of objective adherence anchors (pharmacy PDC/MPR, electronic monitoring) combined with rigorous IRT/CFA pipelines.</w:t>
      </w:r>
    </w:p>
    <w:p>
      <w:r>
        <w:t xml:space="preserve"> </w:t>
      </w:r>
    </w:p>
    <w:p>
      <w:pPr>
        <w:pStyle w:val="Heading2"/>
      </w:pPr>
      <w:r>
        <w:t>Abstract</w:t>
      </w:r>
    </w:p>
    <w:p>
      <w:r>
        <w:t>Postdischarge prophylaxis against deep vein thrombosis (DVT) after hip or knee arthroplasty depends on patient motivation to take anticoagulant therapy. We propose to develop and validate a brief, protection-motivation-theory (PMT) based instrument that measures cognitive drivers of motivation for DVT prophylaxis. Using mixed methods, we will generate items from literature, interviews, and expert review, then evaluate the scale’s structure and item properties with exploratory and confirmatory factor analysis and graded response item response theory (IRT). The main contribution is a validated, theory-grounded scale with IRT-scored metrics and clinical cut-points anchored to objective pharmacy adherence (proportion of days covered). Expected outcomes are: a psychometrically robust tool with reliability estimates, evidence of measurement invariance across key subgroups, and predictive validity for short-term adherence. The instrument is intended to support targeted postdischarge interventions and EHR-triggered workflows to improve prophylaxis adherence and reduce preventable thrombotic events.</w:t>
      </w:r>
    </w:p>
    <w:p>
      <w:r>
        <w:t xml:space="preserve"> </w:t>
      </w:r>
    </w:p>
    <w:p>
      <w:pPr>
        <w:pStyle w:val="Heading2"/>
      </w:pPr>
      <w:r>
        <w:t>Experiments</w:t>
      </w:r>
    </w:p>
    <w:p>
      <w:r>
        <w:t>Datasets: multi-site cohort of adults discharged after primary hip or knee arthroplasty. Phase A (pilot): N=200–250 for item reduction and EFA. Phase B (validation): N=800 (target) for CFA and IRT; retest subset n=150 for test–retest. Follow-up at discharge, 2 weeks, 6 weeks, 3 months. Objective anchors: pharmacy-derived PDC (proportion of days covered) over 6 weeks; subset with electronic medication monitoring (e.g., smart pillbox) and clinician-rated adherence notes. Baseline covariates: age, sex, surgery type, anticoagulant class/frequency, discharge destination, caregiver support, health literacy, SES proxies. Baselines for comparison: a standard medication-adherence questionnaire (MMAS-8 or equivalent), a brief self-efficacy scale, and a knowledge checklist. Preprocessing: handle missing data with multiple imputation by chained equations (MICE, m=50). Analysis pipeline: 1) EFA on polychoric correlations with parallel analysis and oblique rotation (pilot). EFA = exploratory factor analysis (finds underlying item groups). 2) CFA (confirmatory factor analysis; tests a proposed factor structure) using WLSMV for ordinal items on validation sample; report CFI, TLI, RMSEA, SRMR. 3) Fit graded response model (GRM) IRT: estimate discrimination (a) and threshold parameters; produce theta (latent trait) EAP scores and T-score conversion (mean=50, SD=10). GRM = IRT model for ordered response categories. 4) Reliability: McDonald's omega, internal consistency, and test–retest ICC. 5) DIF and invariance: item-level IRT-DIF and multi-group CFA for configural/metric/scalar invariance across language, age (&lt;65/≥65), surgery type, and health literacy. 6) Predictive validity: logistic regression of PDC≥80% on baseline IRT theta and summed scores, adjusted for covariates; evaluate AUC, sensitivity, specificity. 7) Cut-point derivation: ROC with 5-fold cross-validation and bootstrap (2,000 reps); decision-curve analysis for net benefit. Comparisons and ablations: (A) summed score versus IRT theta performance for predicting PDC; (B) model excluding social-support items; (C) anchor comparison: PDC vs electronic monitoring in subset; (D) evaluate impact of imputation vs complete-case. Software and reproducibility: use R (lavaan for CFA, mirt for IRT, mice for imputation); set random seed and publish scripts. Evaluation metrics: CFA fit indices, IRT discrimination/thresholds, omega, ICC, AUC, calibration (Brier score), decision-curve net benefit, SRM (standardized response mean) for responsiveness, and minimally detectable change (MDC).</w:t>
      </w:r>
    </w:p>
    <w:p>
      <w:r>
        <w:t xml:space="preserve"> </w:t>
      </w:r>
    </w:p>
    <w:p>
      <w:pPr>
        <w:pStyle w:val="Heading2"/>
      </w:pPr>
      <w:r>
        <w:t>Risk Factors And Limitations</w:t>
      </w:r>
    </w:p>
    <w:p>
      <w:r>
        <w:t>Low event rate for clinically adjudicated DVT or bleeding may prevent precise predictive estimates. Short prophylaxis durations can make pharmacy PDC a noisy proxy for ingestion (fills do not guarantee taking medicine). Skewed or ceiling responses (many patients scoring at the top) may reduce item discrimination and require collapsing categories or adding harder items. Differential attrition (dropout) by age, language, or SES can bias estimates and reduce generalizability. Measurement invariance may fail across languages or subgroups, necessitating group-specific scoring or item revision. Reliance on electronic monitoring in a subset may not generalize to the full cohort. IRT model misfit or local dependence between items can complicate scoring. Resource limits (multi-site coordination, pharmacy data linkage) may restrict sample size and subgroup balance, reducing power for DIF detection.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