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optimal_bank_capital_tradeoff</w:t>
      </w:r>
    </w:p>
    <w:p>
      <w:r>
        <w:t xml:space="preserve"> </w:t>
      </w:r>
    </w:p>
    <w:p>
      <w:pPr>
        <w:pStyle w:val="Heading2"/>
      </w:pPr>
      <w:r>
        <w:t>Title</w:t>
      </w:r>
    </w:p>
    <w:p>
      <w:r>
        <w:t>Integrating a corporate finance trade-off and Merton structural approach to estimate optimal bank capital under liquidity premia and systemic distress</w:t>
      </w:r>
    </w:p>
    <w:p>
      <w:r>
        <w:t xml:space="preserve"> </w:t>
      </w:r>
    </w:p>
    <w:p>
      <w:pPr>
        <w:pStyle w:val="Heading2"/>
      </w:pPr>
      <w:r>
        <w:t>Short Hypothesis</w:t>
      </w:r>
    </w:p>
    <w:p>
      <w:r>
        <w:t>An exogenous increase in a bank's equity capital ratio causally reduces its default probability and funding spreads enough to lower its weighted average cost of capital (WACC) net of lost debt tax shields and liquidity premium, implying an interior optimal capital ratio.</w:t>
      </w:r>
    </w:p>
    <w:p>
      <w:r>
        <w:t xml:space="preserve"> </w:t>
      </w:r>
    </w:p>
    <w:p>
      <w:pPr>
        <w:pStyle w:val="Heading2"/>
      </w:pPr>
      <w:r>
        <w:t>Related Work</w:t>
      </w:r>
    </w:p>
    <w:p>
      <w:r>
        <w:t>Existing literature separates corporate finance trade-off models (balancing tax shields and distress costs) from structural credit approaches (Merton-style models that map asset risk to default probabilities). Other streams estimate regulatory effects using reduced-form designs (DiD, event studies) and stress-test simulations, while network and liquidity channels are addressed in macroprudential models. Limitations: (1) Few studies integrate trade-off-style cost functions with Merton structural mapping to compute WACC endogenously; (2) liquidity premium and issuance frictions are often omitted or treated as exogenous; (3) network contagion and systemic externalities are typically modeled separately, reducing internal consistency; (4) empirical identification often relies on policy timing without fully pre-specifying exclusion restrictions or weak-IV diagnostics; (5) measurement error in RWA and implicit subsidies (RWA gaming, noisy proxies) is under-addressed, biasing structural estimates.</w:t>
      </w:r>
    </w:p>
    <w:p>
      <w:r>
        <w:t xml:space="preserve"> </w:t>
      </w:r>
    </w:p>
    <w:p>
      <w:pPr>
        <w:pStyle w:val="Heading2"/>
      </w:pPr>
      <w:r>
        <w:t>Abstract</w:t>
      </w:r>
    </w:p>
    <w:p>
      <w:r>
        <w:t>We study optimal bank capital by combining a corporate-finance trade-off objective with Merton-style structural credit modeling to compute how equity levels affect a bank's weighted average cost of capital (WACC). The model explicitly balances benefits (lower default probability and reduced systemic spillovers) against costs (loss of debt tax shields, liquidity premia, issuance frictions, and agency changes). Empirically, we exploit staggered regulatory reforms (Basel III, TLAC, CCyB, deposit-insurance changes) as quasi-experiments, build latent constructs for noisy inputs (RWA quality, implicit subsidy), and estimate structural parameters by simulated method of moments (SMM). Main contributions: (1) an integrated framework that maps equity choice into WACC and welfare, (2) identification and measurement-error protocols tailored to bank data, and (3) counterfactuals for capital requirements across bank- and country-level conditions. Expected outcome: clear, testable policy diagnostics (optimal k* and welfare gaps) that quantify when private incentives diverge from social optima under liquidity and network externalities.</w:t>
      </w:r>
    </w:p>
    <w:p>
      <w:r>
        <w:t xml:space="preserve"> </w:t>
      </w:r>
    </w:p>
    <w:p>
      <w:pPr>
        <w:pStyle w:val="Heading2"/>
      </w:pPr>
      <w:r>
        <w:t>Experiments</w:t>
      </w:r>
    </w:p>
    <w:p>
      <w:r>
        <w:t>Datasets: consolidated and parent FFIEC Call Reports / FR Y-9C (quarterly); CRSP/Compustat for market values; CDS spreads (Markit/Bloomberg); issuance records (Refinitiv/SDC); FDIC and state deposit-insurance rule histories; CCAR/DFAST metadata; payment-system traces (Fedwire/TARGET2) and repo flow proxies where available. Baselines: (A) reduced-form DiD using staggered policy timing; (B) static trade-off model without liquidity premium or network; (C) Merton-only structural calibration mapping asset volatility to PDs. Structural estimator: SMM/GMM matching moments. Evaluation metrics: change in WACC (percentage points), CDS-implied PD (annualized), equity issuance spreads (bps), capital ratio k (CET1), welfare metric W (expected private profit minus expected social distress cost; explained simply as dollars per unit of assets). Experimental steps: 1) Construct panel (2000–latest) and M&amp;A concordance; compute core moments (mean ROA, NIM, CDS gaps, issuance frequency). 2) Reduced-form tests: staggered DiD and event studies on CDS gaps, capital ratios, and issuance; pre-trend tests and placebo outcomes. 3) Measurement-error study: build latent RWA and subsidy factors; run SIMEX and Oster sensitivity bounds. 4) Structural estimation: specify SMM moment list (capital ratio mean/SD, issuance frequency, PD moments, tail loss moments, CDS covariances); estimate parameters and compute k* and W under alternative φ weights. 5) Ablations: (i) remove liquidity premium term; (ii) remove network spillover term; (iii) use raw RWA instead of latent factor; compare parameter estimates and k*. 6) Identifiability checks: Monte Carlo DGP experiments that vary instrument strength, sample size, and RWA noise; report recovery errors and planned first-stage F statistics. 7) Counterfactuals: simulate policy scenarios (higher k_reg, CCyB activation, TLAC phase-in) and report WACC, PD, and welfare percent changes with bootstrap confidence intervals.</w:t>
      </w:r>
    </w:p>
    <w:p>
      <w:r>
        <w:t xml:space="preserve"> </w:t>
      </w:r>
    </w:p>
    <w:p>
      <w:pPr>
        <w:pStyle w:val="Heading2"/>
      </w:pPr>
      <w:r>
        <w:t>Risk Factors And Limitations</w:t>
      </w:r>
    </w:p>
    <w:p>
      <w:r>
        <w:t>Data access: supervisory bilateral interbank exposure data may be restricted, limiting direct network identification; public proxies (CDS covariance, payment flows) may be imperfect. Measurement error: RWA manipulation and noisy implicit-subsidy proxies can bias structural estimates; SIMEX and latent models may not fully remove bias in small samples. Identification: instruments from regulatory timing risk violating exclusion (policy correlated with unobserved shocks) and may be weak; planned first-stage strength may be insufficient. Model misspecification: chosen functional forms for subsidies, distress curvature, and agency effects may be wrong, causing incorrect k*; nonparametric alternatives may have low power. Computational cost: SMM with Monte Carlo and network dynamics requires substantial compute and may face convergence issues. Generalization: calibrated results may not transfer across countries with different legal, tax, or market microstructure. Normative sensitivity: welfare conclusions depend on chosen social weight φ (a normative parameter) and can change ranking of policies.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