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sustained_cs_revenue_sweden</w:t>
      </w:r>
    </w:p>
    <w:p>
      <w:r>
        <w:t xml:space="preserve"> </w:t>
      </w:r>
    </w:p>
    <w:p>
      <w:pPr>
        <w:pStyle w:val="Heading2"/>
      </w:pPr>
      <w:r>
        <w:t>Title</w:t>
      </w:r>
    </w:p>
    <w:p>
      <w:r>
        <w:t>Estimating sustained causal effects of customer satisfaction on individual bank revenue using dynamic panel methods and causal mediation</w:t>
      </w:r>
    </w:p>
    <w:p>
      <w:r>
        <w:t xml:space="preserve"> </w:t>
      </w:r>
    </w:p>
    <w:p>
      <w:pPr>
        <w:pStyle w:val="Heading2"/>
      </w:pPr>
      <w:r>
        <w:t>Short Hypothesis</w:t>
      </w:r>
    </w:p>
    <w:p>
      <w:r>
        <w:t>A sustained increase of one unit in a customer's latent satisfaction score over a six month window causes a positive increase in that customer's one year cumulative net revenue compared to no sustained increase.</w:t>
      </w:r>
    </w:p>
    <w:p>
      <w:r>
        <w:t xml:space="preserve"> </w:t>
      </w:r>
    </w:p>
    <w:p>
      <w:pPr>
        <w:pStyle w:val="Heading2"/>
      </w:pPr>
      <w:r>
        <w:t>Related Work</w:t>
      </w:r>
    </w:p>
    <w:p>
      <w:r>
        <w:t>Existing studies link customer satisfaction to firm performance using aggregate or cross sectional data, simple panel fixed effects, or instrumented regressions. Common approaches include ordinary least squares with customer fixed effects (controls for stable traits), difference-in-differences around events (compares before/after treated groups), and aggregate ROI calculations. Limitations are: many analyses use bank- or branch-level aggregates so they cannot measure individual revenue effects; time-varying confounding is often unaddressed so estimates may be biased; mediation channels (retention, cross-sell, pricing power, funding cost, credit risk) are rarely decomposed dynamically; survey measurement error and linkage uncertainty are not fully propagated; and heterogeneity is often unexplored. Instruments used previously are weak or under-tested, and interference (spillovers between customers) is typically ignored.</w:t>
      </w:r>
    </w:p>
    <w:p>
      <w:r>
        <w:t xml:space="preserve"> </w:t>
      </w:r>
    </w:p>
    <w:p>
      <w:pPr>
        <w:pStyle w:val="Heading2"/>
      </w:pPr>
      <w:r>
        <w:t>Abstract</w:t>
      </w:r>
    </w:p>
    <w:p>
      <w:r>
        <w:t>We study whether sustained increases in customer satisfaction cause persistent revenue gains at the individual customer level. Using linked survey responses and monthly bank records for retail customers, we estimate the causal effect of sustained satisfaction improvements (several-month windows) on cumulative net revenue over 1 to 5 year horizons. The approach combines dynamic panel estimation with system GMM (to handle lagged revenue and fixed effects), longitudinal mediation using marginal structural models (to decompose channels such as retention and cross-sell), and machine learning causal forests (to reveal heterogeneous effects). We validate identification with candidate instruments (regional IT outages, staggered rollouts, manager turnover), Monte Carlo simulations that mimic measurement error and serial correlation, and sensitivity diagnostics for attrition and spillovers. The main contribution is a reproducible, multi-method pipeline that delivers horizon-specific ATEs, channel decompositions, and segment-level uplift scores that translate into ROI estimates. Expected outcomes are credible causal estimates of sustained satisfaction effects, mapped channels of impact, and actionable heterogeneity for targeting.</w:t>
      </w:r>
    </w:p>
    <w:p>
      <w:r>
        <w:t xml:space="preserve"> </w:t>
      </w:r>
    </w:p>
    <w:p>
      <w:pPr>
        <w:pStyle w:val="Heading2"/>
      </w:pPr>
      <w:r>
        <w:t>Experiments</w:t>
      </w:r>
    </w:p>
    <w:p>
      <w:r>
        <w:t>Datasets: Primary: linked survey and monthly account records for 19,060 Swedish retail customers with multiple satisfaction metrics (NPS, CSAT, CES) and product-level revenue and balances. Supplementary: simulated panel data with N in {50k,200k,500k} and T in {24,60} months to evaluate estimator properties under controlled conditions. Baselines: (1) OLS with customer and time fixed effects, (2) bias-corrected least-squares dummy variable (LSDV), (3) system GMM dynamic panel, (4) targeted maximum likelihood estimation (TMLE) or doubly robust estimator, (5) causal forest for heterogeneous effects. Treatment definitions: sustained treatment indicator T_i(t,H,Δ) with H in {3,6,12} months and Δ in {+1 unit, +1 SD}; continuous dose–response analyses with splines. Estimators and specifications: dynamic panel Revenue_it = α Revenue_{i,t-1} + Σ_{k=0}^K β_k S_{i,t-k} + γ X_it + μ_i + λ_t + ε_it with K in {2,3,4}; system GMM uses instrument collapse and Windmeijer correction. Mediation: marginal structural models (MSM) with stabilized inverse probability of treatment weights (IPTW) and sequential mediation decomposition for retention, cross-sell, pricing, funding cost, and credit risk. IV strategy: test instruments such as regional IT outages and staggered rollouts; report first-stage F statistic (&gt;10), Kleibergen-Paap, and overidentification tests. Validation metrics: point estimate bias (in simulations), RMSE, 95% CI coverage, first-stage F, weak-IV diagnostics, placebo-test p-values, and ROI uncertainty intervals. Ablations: compare estimators under varying measurement error σ_me in {0.3,0.6}, instrument strength, and unobserved confounding correlations; remove mediation set to measure channel importance. Heterogeneity: causal forest with honest sample split and cross-fitting; report average treatment effects by segments (product type, tenure, risk tier). Power: compute MDEs and required sample sizes for cluster randomized trials using observed revenue variance and ICC values in {0.02,0.1,0.2}. Reproducibility: release pre-registered analysis plan, synthetic minimal dataset exercising worst-case measurement/linkage error, and code notebooks that reproduce main tables and key sensitivity scans.</w:t>
      </w:r>
    </w:p>
    <w:p>
      <w:r>
        <w:t xml:space="preserve"> </w:t>
      </w:r>
    </w:p>
    <w:p>
      <w:pPr>
        <w:pStyle w:val="Heading2"/>
      </w:pPr>
      <w:r>
        <w:t>Risk Factors And Limitations</w:t>
      </w:r>
    </w:p>
    <w:p>
      <w:r>
        <w:t>Unmeasured time-varying confounders may bias causal estimates if not captured by instruments or weighting. Instruments may be weak or violate exclusion (affect revenue directly), producing biased IV estimates. Measurement error in survey responses and probabilistic linkage between surveys and transactions can attenuate estimates and may be hard to fully correct. Survey nonresponse and attrition can be informative and produce selection bias if missingness mechanisms are not correctly modeled. Interference or spillovers between customers (for example within households or local communities) violate SUTVA and complicate interpretation. Small sample or short time windows can impart finite-sample bias in system GMM and reduce power for subgroup analyses. Machine learning heterogeneity estimates can overfit if temporal leakage or improper cross-fitting occurs. Results from a Swedish retail bank may not generalize to different countries, bank sizes, or retail segments because product mixes, regulation, and customer behavior differ. Computational cost: causal forests and large simulated panels require substantial compute and memory for cross-fitting and bootstrapping.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