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intergenerational_mobility_mothers_latam</w:t>
      </w:r>
    </w:p>
    <w:p>
      <w:r>
        <w:t xml:space="preserve"> </w:t>
      </w:r>
    </w:p>
    <w:p>
      <w:pPr>
        <w:pStyle w:val="Heading2"/>
      </w:pPr>
      <w:r>
        <w:t>Title</w:t>
      </w:r>
    </w:p>
    <w:p>
      <w:r>
        <w:t>Instrumental-variable and mediation analysis of mothers' contributions to intergenerational education and income rank mobility in five Latin American countries</w:t>
      </w:r>
    </w:p>
    <w:p>
      <w:r>
        <w:t xml:space="preserve"> </w:t>
      </w:r>
    </w:p>
    <w:p>
      <w:pPr>
        <w:pStyle w:val="Heading2"/>
      </w:pPr>
      <w:r>
        <w:t>Short Hypothesis</w:t>
      </w:r>
    </w:p>
    <w:p>
      <w:r>
        <w:t>Increases in maternal education causally raise children's adult education and income ranks, with a substantial part of the effect mediated by maternal income and maternal caregiving time.</w:t>
      </w:r>
    </w:p>
    <w:p>
      <w:r>
        <w:t xml:space="preserve"> </w:t>
      </w:r>
    </w:p>
    <w:p>
      <w:pPr>
        <w:pStyle w:val="Heading2"/>
      </w:pPr>
      <w:r>
        <w:t>Related Work</w:t>
      </w:r>
    </w:p>
    <w:p>
      <w:r>
        <w:t>Existing work on intergenerational mobility typically estimates parent-child associations using single proxies (mother or father education alone, or occupation alone) or reduced-form correlations. Approaches include OLS rank regressions, sibling fixed-effects (which compare siblings to control for shared family factors), and limited use of instrumental variables (IVs) such as schooling reforms. Mediation analyses are often observational and rely on strong ignorability assumptions (no unmeasured confounders between mediator and outcome). Limitations are: (1) inconsistent use of both parents' education and occupation jointly as a multidimensional family-status proxy; (2) weak or inadequately validated instruments and few standard weak-IV procedures; (3) little integration of IV methods into mediation (so mediator bias remains); (4) limited cross-country harmonization and measurement-invariance testing; (5) sparse treatment of linkage error, survey design in imputation, and privacy-preserving release. These gaps reduce causal credibility and cross-country comparability.</w:t>
      </w:r>
    </w:p>
    <w:p>
      <w:r>
        <w:t xml:space="preserve"> </w:t>
      </w:r>
    </w:p>
    <w:p>
      <w:pPr>
        <w:pStyle w:val="Heading2"/>
      </w:pPr>
      <w:r>
        <w:t>Abstract</w:t>
      </w:r>
    </w:p>
    <w:p>
      <w:r>
        <w:t>We study whether and how mothers shape intergenerational mobility in education and income ranks across Brazil, Chile, Ecuador, Mexico, and Panama. Using harmonized household and administrative microdata, we combine parental education and occupation to form a multidimensional family-status measure and apply triangulated causal designs: instrumental variables exploiting cohort or policy variation, sibling fixed effects, and spatial/temporal difference-in-differences. We explicitly estimate mediation by maternal income and caregiving time using sequential g-formula, inverse-probability-weighted mediation, and IV-based mediation estimands, and report partial-identification bounds when ignorability fails. Main contributions are: (1) a reproducible cross-country harmonization and measurement-invariance protocol for multidimensional status; (2) pre-specified weak-IV inference and linkage-quality decision rules; and (3) combined mediation-IV estimation to quantify maternal channels. Expected outcomes are robust, comparable estimates of maternal causal effects on children's rank mobility, documented variation by country and cohort, and sensitivity bounds that inform policy on maternal education and support.</w:t>
      </w:r>
    </w:p>
    <w:p>
      <w:r>
        <w:t xml:space="preserve"> </w:t>
      </w:r>
    </w:p>
    <w:p>
      <w:pPr>
        <w:pStyle w:val="Heading2"/>
      </w:pPr>
      <w:r>
        <w:t>Experiments</w:t>
      </w:r>
    </w:p>
    <w:p>
      <w:r>
        <w:t>Datasets: harmonized microdata from PNAD (Brazil), CASEN (Chile), ENIGH (Mexico), SEDLAC-based household microdata for Ecuador and Panama, and available administrative earnings or schooling records for linkage. Include survey design variables and replicate weights where provided. Baselines: (A) OLS rank-rank regressions using single-parent education or occupation; (B) OLS with combined parental education+occupation index; (C) sibling fixed-effects models; (D) reduced-form policy exposure estimates. Causal estimators: (E) IV (two-stage least squares) using candidate instruments per country (cohort-based schooling reforms, age-at-entry cutoffs, maternal-targeted transfers, maternity-leave eligibility); (F) weak-IV robust estimators (Anderson–Rubin test, conditional likelihood ratio (CLR), LIML/Fuller). Mediation estimators: sequential g-formula (parametric and nonparametric), inverse-probability-weighted (IPW) mediation, and IV-based mediation (complier average causal mediation effects). Evaluation metrics: child education rank elasticity, child income rank elasticity, average causal mediation effect (ACME) and average direct effect (ADE), first-stage F-statistics, Anderson–Rubin p-values, CLR confidence sets, coverage of 95% intervals, linkage match-rate, precision and recall for linkage, measurement-invariance indices (factor loadings and chi-square difference), and sensitivity bound lengths (VanderWeele rho). Experimental setup: harmonize education to ISCED and occupation to ISCO; construct parental multidimensional index by factor analysis and test invariance across countries; pre-register candidate instruments and decision rules; run OLS and sibling-FE then IVs; report primary IV only if first-stage F&gt;=10, otherwise use weak-IV robust set and present reduced-form/bounds; compute mediation estimates under each estimator and report partial-identification bounds; perform ablations: (1) index vs single-parent covariates; (2) include vs omit occupation; (3) spatial controls on vs off; (4) mediation estimator comparison (g-formula vs IPW vs IV-mediation); (5) privacy-noise ablation (results with and without differential privacy noise). Inference: use survey-weight-aware variance estimation (replicate weights or bootstrap respecting strata/cluster), cluster standard errors at policy roll-out unit, apply wild-cluster bootstrap or spatial-HAC when cluster counts are small. Pre-registration: publish PAPs specifying sample inclusion, MDE tables under F={10,20,50}, multiple-testing families, and planned subgroup analyses.</w:t>
      </w:r>
    </w:p>
    <w:p>
      <w:r>
        <w:t xml:space="preserve"> </w:t>
      </w:r>
    </w:p>
    <w:p>
      <w:pPr>
        <w:pStyle w:val="Heading2"/>
      </w:pPr>
      <w:r>
        <w:t>Risk Factors And Limitations</w:t>
      </w:r>
    </w:p>
    <w:p>
      <w:r>
        <w:t>Weak instruments: candidate policy instruments may yield first-stage F&lt;10, limiting causal identification and forcing reliance on weak-IV inference or reduced-form bounds. Measurement error: retrospective reports of parental attributes and mediator measures (time use, income) can bias estimates. Linkage failure: insufficient match rates or linkage precision will reduce sample size and may induce selection bias. Unobserved confounding: genetic transmission or unmeasured family shocks may confound mediator-outcome links; IVs may not fully address these. Survey design and missing data: complex sampling, unit nonresponse, and MNAR (missing not at random) patterns may bias estimates if not fully modeled. Differential privacy tradeoffs: adding noise for privacy reduces statistical power and may distort small-area estimates. Cross-country heterogeneity: differences in survey questions, labor markets, and policy timing limit external generalization beyond the five countries studied. Computational and governance limits: secure linkage, IRB approvals, and containerized reproducible pipelines may delay analysis and reduce repeatability if data access is restricted.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