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ecb_climate_eventstudy_banks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Event-study and staggered-difference-in-differences analysis of how ECB climate-related announcements affect European banks' stock returns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ECB climate-related announcements causally change European banks' daily abnormal stock returns within narrow event windows, with negative effects for banks with higher carbon-intensive or geographically concentrated exposures and weaker effects for banks with larger green exposures or ECB supervision.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finds that climate physical shocks and transition risks affect bank valuations and that central bank or supervisory signals can alter market perceptions. Existing approaches include cross-sectional regressions linking low-frequency disclosures to returns, event studies around climate or policy announcements, difference-in-differences (DiD) for policy timing, and stress-testing models mapping losses to capital. Limitations are common: many studies use coarse or infrequent exposure measures (annual sector shares), ignore measurement error from interpolating exposures to daily returns, rely on two-way fixed effects (TWFE) that bias staggered treatments, use weak or unclearly justified instruments for policy endogeneity, omit market microstructure adjustments (liquidity, intraday effects), and rarely link event-study equity effects to stress-test capital impacts. Overlapping events and cross-sectional common shocks are often not fully addressed.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measures how ECB climate-related announcements influence European banks' stock returns using high-frequency event-study methods combined with staggered DiD estimators. We construct daily abnormal returns adjusted for market and liquidity factors and build time-varying bank exposure scores from geocoded loan maps (physical hazards) and sectoral carbon-intensity shares (transition risk). Identification leverages narrow-window announcement "surprises" (large, unexpected price moves in interest-rate and ETS futures) as quasi-experimental shocks and uses staggered-treatment DiD and IV diagnostics to separate announcement from implementation effects. Main contributions are: (1) causal estimates of announcement impacts on cumulative abnormal returns (CARs) across bank groups (European, eurozone, ECB-supervised); (2) validated, higher-frequency exposure measures and explicit measurement-error reporting; (3) a stress-test linkage that maps estimated equity responses to CET1 and provisioning changes. Expected outcomes are robust, heterogeneity-aware elasticities quantifying how ECB communications amplify or mitigate climate-risk valuation of banks, with implications for supervisory and communication strategies.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daily bank prices, volumes, dividends, CDS from Bloomberg/Refinitiv; bank financials and loan/bond holdings from Orbis Bank Focus, Pillar 3, DealScan where available; geocoded borrower/branch data; multi-hazard layers (ERA5/Copernicus, EM-DAT, NatCat); EU ETS futures and rate futures; supervisory stress-test outputs where available. Sample: pilot n≈20 banks, full ≈100 listed European banks, period covering identified ECB/climate events. Baselines: (A) raw market-model event study (market return model), (B) factor-adjusted event study (CAPM; Fama-French 3/5 + Pastor-Stambaugh liquidity), (C) TWFE DiD, (D) synthetic control for large single shocks. Proposed methods: narrow-window abnormal-return event study (windows e.g. [-1,+1], [-5,+5], [-10,+10]); staggered-treatment DiD (Sun &amp; Abraham; Callaway &amp; Sant’Anna); IV panel with high-frequency surprise instruments and political-calendar instruments. Metrics: cumulative abnormal returns (CAR), average abnormal returns (AAR), bootstrap p-values (wild-cluster), FDR-adjusted significance, first-stage F-statistics for IV (&gt;10), root mean squared error (RMSE) between stress-test implied equity impacts and observed CARs, coverage of 95% CIs. Experimental setup: pre-register events and exclusion windows (default ±5 trading days; ±10 for major events), compute factor-adjusted returns for each bank-day, run event windows and report CARs by exposure terciles (physical, transition, green share), cluster SEs at bank-country level and use wild bootstrap. Instrument diagnostics: report first-stage F, Sargan/Hansen, Anderson-Rubin CIs, and placebo leads. Ablations: (1) remove factor adjustments (market model only), (2) omit liquidity/microstructure controls, (3) use TWFE DiD instead of staggered estimators, (4) drop measurement-error correction (no state-space interpolation), (5) alternate attribution rules for overlapping events. Comparisons: compare CARs and IV estimates across baselines and ablations; report heterogeneity by bank type (eurozone vs non-euro; ECB-supervised vs not).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Instrument validity risk: exclusion restriction may fail if instruments (filtered EUA moves, lagged foreign-CB announcements) affect bank returns through channels other than ECB attention. Geocoding and coverage risk: borrower-level geolocation may cover less than the 70% target, producing biased physical exposures. Measurement error and frequency mismatch: interpolating quarterly exposures to daily series can introduce errors that bias estimates if IVs are weak. Event overlap and attribution risk: simultaneous climate, sovereign, or macro events can confound attribution in narrow windows. Power and dispersion: actual daily excess-return volatility may exceed assumed SD≈2.0%, reducing power especially in subsamples. Cross-sectional dependence: common shocks across banks (market-wide or sector shocks) can invalidate standard clustered inference if not modeled. Microstructure confounding: liquidity-driven price moves around announcements may mimic information effects. Data and legal constraints: licensing, GDPR or missing supervisory data limit replication and fine-grained validation. Model mapping limits: converting CET1 changes to equity values relies on cost-of-capital and structural assumptions that may not hold uniformly across banks. Computational limits: high-resolution raster joins and state-space filtering are compute-intensive and may limit scalability.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