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eu_funds_tfp_spatial_temporal</w:t>
      </w:r>
    </w:p>
    <w:p>
      <w:r>
        <w:t xml:space="preserve"> </w:t>
      </w:r>
    </w:p>
    <w:p>
      <w:pPr>
        <w:pStyle w:val="Heading2"/>
      </w:pPr>
      <w:r>
        <w:t>Title</w:t>
      </w:r>
    </w:p>
    <w:p>
      <w:r>
        <w:t>Dynamic spatial and quasi-experimental analysis of EU cohesion funds' impact on regional total factor productivity growth</w:t>
      </w:r>
    </w:p>
    <w:p>
      <w:r>
        <w:t xml:space="preserve"> </w:t>
      </w:r>
    </w:p>
    <w:p>
      <w:pPr>
        <w:pStyle w:val="Heading2"/>
      </w:pPr>
      <w:r>
        <w:t>Short Hypothesis</w:t>
      </w:r>
    </w:p>
    <w:p>
      <w:r>
        <w:t>Exogenous increases in annual ESIF disbursements per worker cause a positive increase in regional annual TFP growth within eight years.</w:t>
      </w:r>
    </w:p>
    <w:p>
      <w:r>
        <w:t xml:space="preserve"> </w:t>
      </w:r>
    </w:p>
    <w:p>
      <w:pPr>
        <w:pStyle w:val="Heading2"/>
      </w:pPr>
      <w:r>
        <w:t>Related Work</w:t>
      </w:r>
    </w:p>
    <w:p>
      <w:r>
        <w:t>Prior work has estimated positive links between EU cohesion funds and regional productivity using growth-accounting, micro-based LP/OP methods, difference-in-differences (DiD), regression discontinuity (RD), and Bartik-style instruments. Spatial econometric studies document spillovers but often use static models. Existing approaches are limited by (1) neglecting heterogeneous regional capital accumulation in TFP measurement, (2) coarse handling of multi-region project allocation and geocoding uncertainty, (3) weak or undocumented instruments and limited weak-IV sensitivity checks, (4) biased staggered-DiD inference when treatment timing and effects are heterogeneous, (5) insufficient modeling of spatial interference beyond simple contiguity, and (6) scarce pre-registration and replication artifacts. These gaps reduce credibility of effect magnitudes, timing, and spatial patterns and leave open questions about fund-type heterogeneity and dynamic channel decomposition.</w:t>
      </w:r>
    </w:p>
    <w:p>
      <w:r>
        <w:t xml:space="preserve"> </w:t>
      </w:r>
    </w:p>
    <w:p>
      <w:pPr>
        <w:pStyle w:val="Heading2"/>
      </w:pPr>
      <w:r>
        <w:t>Abstract</w:t>
      </w:r>
    </w:p>
    <w:p>
      <w:r>
        <w:t>This study quantifies how European Structural and Investment Funds (ESIF) causally affect regional total factor productivity (TFP) growth across 262 NUTS2 regions from 2000–2019, and how those effects vary over time and space. We combine dynamic spatial panel models with a layered quasi-experimental identification strategy: regression discontinuity (RD) at eligibility cutoffs, modern staggered DiD (Callaway &amp; Sant'Anna; Sun &amp; Abraham), and Bartik-style instruments based on national allocation rules. TFP is computed accounting for heterogeneous capital accumulation and estimated in parallel via growth-accounting and LP/OP methods to assess measurement error. We decompose direct within-region impacts and indirect spillovers under alternative spatial networks (contiguity, inverse-distance, commuting). Main contributions are (a) credible, time-dynamic causal multipliers by fund type and period, (b) transparent treatment construction for multi-region projects, and (c) robustness to measurement error, weak instruments, and spatial interference. Expected outcomes are reproducible regional effect maps, policy-relevant returns-per-euro estimates, and clear statements of uncertainty.</w:t>
      </w:r>
    </w:p>
    <w:p>
      <w:r>
        <w:t xml:space="preserve"> </w:t>
      </w:r>
    </w:p>
    <w:p>
      <w:pPr>
        <w:pStyle w:val="Heading2"/>
      </w:pPr>
      <w:r>
        <w:t>Experiments</w:t>
      </w:r>
    </w:p>
    <w:p>
      <w:r>
        <w:t>Datasets: annual panel 2000–2019 for 262 NUTS2 regions; SFC/ESIF project-level exports (commitments, payments, disbursements, beneficiary metadata); regional macro inputs (value added, employment, capital stock via PIM), sectoral splits; ORBIS firm-level data if available for LP/OP; commuting and trade flow matrices for economic links; shapefiles for NUTS vintages and concordances. Baselines: (A) TWFE distributed-lag panel with region and year fixed effects and region-specific linear trends; (B) Callaway &amp; Sant'Anna staggered DiD for ATT dynamics; (C) Sun &amp; Abraham event-study; (D) local RD at eligibility cutoffs (local linear, Calonico–Cattaneo–Titiunik bandwidths); (E) Bartik IV (national allocation rules × lagged regional shares); (F) static spatial models (SAR/SDEM) and dynamic spatial SDEM (distributed lags). Evaluation metrics: ATT_{0-3} and ATT_{0-8} (cumulative treatment-on-treated multipliers), direct/indirect (spillover) effect estimates, standard errors and 90%/95% CI coverage, first-stage F-statistics, Anderson–Rubin CIs, placebo p-values, minimum detectable effects (MDE) and power. Experimental setup: construct annual treatment series by fund type (ERDF, ESF, CF, EAFRD) and by measure (commitments, payments, disbursements); precompute leads t-2..t-1 and lags t..t+8. Spatial weight matrices: W1 Queen contiguity, W2 inverse-distance kNN=8, W3 commuting flows; row-standardize all Ws. RD: run McCrary test, local randomization checks, report manipulation diagnostics. IV: report first-stage by country/programme, AR and weak-IV-robust CIs, overidentification tests and leave-one-country-out. Robustness and ablations: (i) compare TFP estimators (growth-accounting vs LP/OP) and report attenuation via SIMEX/EIV; (ii) compare fund measures (commitment vs disbursement) and allocation rules (explicit beneficiary shares vs employment weights vs area weights); (iii) compare spatial models and report reporting hierarchy when Ws conflict; (iv) placebo tests (false dates, falsified cutoffs) and permutation/randomization inference tailored to spatial dependence. Inference: cluster at NUTS2, use wild cluster bootstrap when cluster counts are small, and report bootstrap CIs. Deliverables: numeric ATT tables, region-level effect maps, and full replication scripts with synthetic data.</w:t>
      </w:r>
    </w:p>
    <w:p>
      <w:r>
        <w:t xml:space="preserve"> </w:t>
      </w:r>
    </w:p>
    <w:p>
      <w:pPr>
        <w:pStyle w:val="Heading2"/>
      </w:pPr>
      <w:r>
        <w:t>Risk Factors And Limitations</w:t>
      </w:r>
    </w:p>
    <w:p>
      <w:r>
        <w:t>Measurement errors: non-classical errors from misallocation of multi-region projects, time-varying reporting changes, and low-confidence geocoding may bias estimates. Instrument risk: Bartik instruments may be weak or violate exclusion restrictions, limiting causal claims. Spatial interference: unobserved cross-region shocks or incorrect W matrices can misattribute spillovers. Small-sample inference: few clusters in some countries may invalidate asymptotic SEs. Model misspecification: dynamic spatial panels and heterogeneous-treatment estimators require strong assumptions (no differential unobserved trends) that may fail. Computational cost: causal forests, spatial IV bootstraps, and Monte Carlo MDE simulations are compute-intensive. External validity: results are conditional on EU NUTS2 2000–2019 context and may not generalize to other time periods or policy designs. Policy translation limits: mapping TFP changes to national GDP requires general equilibrium assumptions (migration, wage adjustment) that introduce additional uncertainty.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