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true_pricing_point_of_sale_experiment</w:t>
      </w:r>
    </w:p>
    <w:p>
      <w:r>
        <w:t xml:space="preserve"> </w:t>
      </w:r>
    </w:p>
    <w:p>
      <w:pPr>
        <w:pStyle w:val="Heading2"/>
      </w:pPr>
      <w:r>
        <w:t>Title</w:t>
      </w:r>
    </w:p>
    <w:p>
      <w:r>
        <w:t>A large-scale randomized survey and field experiment evaluating how presentation formats of internalized external costs affect consumer choice at the point of sale</w:t>
      </w:r>
    </w:p>
    <w:p>
      <w:r>
        <w:t xml:space="preserve"> </w:t>
      </w:r>
    </w:p>
    <w:p>
      <w:pPr>
        <w:pStyle w:val="Heading2"/>
      </w:pPr>
      <w:r>
        <w:t>Short Hypothesis</w:t>
      </w:r>
    </w:p>
    <w:p>
      <w:r>
        <w:t>Displaying monetized external costs as absolute monetary amounts alongside product prices at the point of sale reduces the purchase probability of higher-externality products more than displaying relative information or no externality information.</w:t>
      </w:r>
    </w:p>
    <w:p>
      <w:r>
        <w:t xml:space="preserve"> </w:t>
      </w:r>
    </w:p>
    <w:p>
      <w:pPr>
        <w:pStyle w:val="Heading2"/>
      </w:pPr>
      <w:r>
        <w:t>Related Work</w:t>
      </w:r>
    </w:p>
    <w:p>
      <w:r>
        <w:t>Existing work on price labels, eco-labels, and behavioral nudges shows that additional information can change consumer choice, and discrete-choice models have been used to estimate willingness-to-pay (WTP). Prior studies often use small samples, hypothetical choice tasks, or passive observational data, limiting causal inference. Life-cycle assessment (LCA) methods provide product-level externality estimates but are typically integrated without clear uncertainty propagation. Pass-through and market-level general-equilibrium effects are rarely estimated together with consumer experiments. Limitations in current approaches include weak causal identification of how upstream shocks map to prices, insufficient treatment of MEC (marginal external cost) uncertainty, lack of pre-registered power calculations and cluster-aware sampling, limited distributional (income-group) analysis, and sparse auditability/ provenance for LCA inputs.</w:t>
      </w:r>
    </w:p>
    <w:p>
      <w:r>
        <w:t xml:space="preserve"> </w:t>
      </w:r>
    </w:p>
    <w:p>
      <w:pPr>
        <w:pStyle w:val="Heading2"/>
      </w:pPr>
      <w:r>
        <w:t>Abstract</w:t>
      </w:r>
    </w:p>
    <w:p>
      <w:r>
        <w:t>We study how to communicate "true prices"—retail prices adjusted to include monetized external costs—to consumers at the point of sale. Using a randomized online survey experiment and a follow-up field pilot, we compare three display formats: absolute monetary external-cost labels, relative (percentage or index) labels, and standard price-only controls. We combine LCA-derived product MEC vectors (marginal external costs; the added monetary damage per unit) with demand estimation to measure causal effects on choice, estimated willingness-to-pay, and distributional welfare across income groups. Main contributions are (1) a causal test of presentation-format effects on purchase behavior, (2) integration of quantified MEC uncertainty into Bayesian demand estimation, and (3) operational fairness KPIs and audit-ready model cards to report provenance and impacts. Expected outcomes are precise estimates of how label formats change choices, heterogeneity by income, and policy-relevant guidance on label design that is transparent and auditable.</w:t>
      </w:r>
    </w:p>
    <w:p>
      <w:r>
        <w:t xml:space="preserve"> </w:t>
      </w:r>
    </w:p>
    <w:p>
      <w:pPr>
        <w:pStyle w:val="Heading2"/>
      </w:pPr>
      <w:r>
        <w:t>Experiments</w:t>
      </w:r>
    </w:p>
    <w:p>
      <w:r>
        <w:t>Datasets: (1) Online survey experiment with N=1,400 participants stratified by country (Netherlands, Denmark), income quintile, and urban/rural; (2) Field pilot in retail stores or online supermarket with at least 3,600 transaction-level observations (target ~1,200 observations per arm) clustered by store/region. Baseline arms: price-only label (control), eco-label (non-monetary), and current practice label. Treatment arms: (A) absolute monetary external-cost label (price + € externality), (B) relative externality label (index or %), (C) absolute + uncertainty band (credible interval), (D) simplified layered disclosure (short label + learn more). Experimental setup: random assignment at individual level in survey; randomized stepped-wedge or cluster-randomized rollout in field pilot to enable difference-in-differences (DiD) and event-study checks. Power and sample-size: survey N=1,400 for medium effect sizes (detect ~6–8 percentage-point changes with α=0.05, power=0.8 under assumed baseline purchase rate 30%); field pilot design targets detection of 5% relative demand shift with ~1,200 observations per arm, assuming intra-cluster correlation ICC≈0.02 and cluster sizes ≥30. Modeling and estimation: hierarchical random-coefficients discrete-choice model (mixed logit; random coefficients recover heterogeneous preferences and WTP—WTP is the implied price change needed to keep utility constant), estimated in a Bayesian framework to propagate MEC uncertainty; report posterior distributions. Pass-through estimation (field): instrumental variables using supplier input-cost shocks or staggered supplier rollouts as instruments for price changes; first-stage F&gt;10 diagnostic. Metrics: average treatment effect (ATE) on purchase probability, choice share by product, estimated WTP distribution, posterior net welfare change (consumer+producer+externality+recycling), comprehension rate (% who correctly recall label meaning), time-on-task, and heterogeneity by income quintile. Evaluation: compare treatment arms vs control and absolute vs relative; ablation studies: (i) absolute amount vs absolute + uncertainty band, (ii) simple vs layered disclosure, (iii) climate vs health framing. Validation: pre-register analysis plan, reserve 25–30% geographic holdouts for transportability, run placebo outcomes and synthetic-control checks. Baselines for comparison: price-only control, eco-label non-monetary, and a simulated perfect-information counterfactual where consumers fully internalize MEC.</w:t>
      </w:r>
    </w:p>
    <w:p>
      <w:r>
        <w:t xml:space="preserve"> </w:t>
      </w:r>
    </w:p>
    <w:p>
      <w:pPr>
        <w:pStyle w:val="Heading2"/>
      </w:pPr>
      <w:r>
        <w:t>Risk Factors And Limitations</w:t>
      </w:r>
    </w:p>
    <w:p>
      <w:r>
        <w:t>Selection and hypothetical bias: online survey choices may not match real purchases. LCA and MEC uncertainty: input data gaps and valuation choices create wide uncertainty in MEC estimates. Instrument validity: proposed instruments (supplier shocks, rollouts) may violate exclusion restrictions if they affect demand directly. Power and clustering: cluster-randomized field pilots require more observations than individual randomization; incorrect ICC assumptions reduce power. Cognitive overload: monetary labels with uncertainty bands may confuse consumers and reduce decision quality. General equilibrium effects: competitor responses, cross-category substitution, and supply adjustments are not fully captured in short pilots. Privacy and data-sharing: differential privacy releases may reduce utility of public aggregates. Legal/regulatory variation: labeling or differentiated pricing may be restricted in some jurisdictions, limiting external validity. Compute and reproducibility: Bayesian hierarchical models with uncertainty propagation can be computationally expensive and sensitive to prior choices (prior influence).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