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markup_product_diff_airlines</w:t>
      </w:r>
    </w:p>
    <w:p>
      <w:r>
        <w:t xml:space="preserve"> </w:t>
      </w:r>
    </w:p>
    <w:p>
      <w:pPr>
        <w:pStyle w:val="Heading2"/>
      </w:pPr>
      <w:r>
        <w:t>Title</w:t>
      </w:r>
    </w:p>
    <w:p>
      <w:r>
        <w:t>A structural markup-decomposition with product differentiation to explain profitability dynamics in the U.S. airline industry</w:t>
      </w:r>
    </w:p>
    <w:p>
      <w:r>
        <w:t xml:space="preserve"> </w:t>
      </w:r>
    </w:p>
    <w:p>
      <w:pPr>
        <w:pStyle w:val="Heading2"/>
      </w:pPr>
      <w:r>
        <w:t>Short Hypothesis</w:t>
      </w:r>
    </w:p>
    <w:p>
      <w:r>
        <w:t>Increases in product differentiation (measured by schedule quality, aircraft seat mix, and ancillary offerings) cause higher firm-level markups, holding marginal costs constant.</w:t>
      </w:r>
    </w:p>
    <w:p>
      <w:r>
        <w:t xml:space="preserve"> </w:t>
      </w:r>
    </w:p>
    <w:p>
      <w:pPr>
        <w:pStyle w:val="Heading2"/>
      </w:pPr>
      <w:r>
        <w:t>Related Work</w:t>
      </w:r>
    </w:p>
    <w:p>
      <w:r>
        <w:t>Existing approaches estimate demand using random-coefficients discrete-choice models and recover markups from supply first-order conditions or reduced-form price regressions. A common framework models product demand with variants of BLP (a structural demand model where consumers choose among differentiated products) and infers markups assuming a conduct parameter (e.g., Bertrand). Other lines decompose profits or markups using accounting measures and econometric cost allocations. Limitations in the literature include: (1) treating product attributes as exogenous which biases markup estimates when carriers adjust attributes to demand; (2) coarse or unanalyzed marginal-cost constructions that ignore stage-length and fuel/nonfuel decomposition; (3) weak instrument treatment and limited falsification for attribute endogeneity; (4) ancillaries and bundles often omitted or modeled simplistically; and (5) sparse welfare decomposition that does not separate price versus quality effects. These gaps leave unresolved how time-varying product differentiation drives observed markup dynamics.</w:t>
      </w:r>
    </w:p>
    <w:p>
      <w:r>
        <w:t xml:space="preserve"> </w:t>
      </w:r>
    </w:p>
    <w:p>
      <w:pPr>
        <w:pStyle w:val="Heading2"/>
      </w:pPr>
      <w:r>
        <w:t>Abstract</w:t>
      </w:r>
    </w:p>
    <w:p>
      <w:r>
        <w:t>This study develops a structural markup-decomposition that explicitly incorporates product differentiation to identify the drivers of firm-level profitability in the U.S. airline industry. We extend classical markup decomposition by adding a product-attribute channel: schedule frequency, aircraft seat mix, and ancillary offerings enter both demand and a route-level supply system. We construct marginal cost per available seat-mile (MC/ASM) using T-100 segment data allocated by stage-length and decomposed into fuel and nonfuel components using carrier financials. Endogeneity of product attributes is addressed with quasi-experimental instruments (slot reassignments, aircraft up/down-gauging events, staggered ancillary rollouts) plus robust IV inference. The main contribution is a transparent, testable decomposition of annual markup changes into cost, demand, and product-differentiation components, and an assessment of welfare consequences under alternative conduct assumptions. Expected outcomes include defensible estimates of how product innovations and bundling affect markups and distributional consumer surplus results relevant to regulators.</w:t>
      </w:r>
    </w:p>
    <w:p>
      <w:r>
        <w:t xml:space="preserve"> </w:t>
      </w:r>
    </w:p>
    <w:p>
      <w:pPr>
        <w:pStyle w:val="Heading2"/>
      </w:pPr>
      <w:r>
        <w:t>Experiments</w:t>
      </w:r>
    </w:p>
    <w:p>
      <w:r>
        <w:t>Datasets: BTS DB1B ticket microdata (itinerary-level fares and ancillaries), T-100 segment data (capacity and operating expenses), OAG/Innovata schedules (frequencies and aircraft types), carrier financial statements (fuel and nonfuel expense shares), FAA reliability metrics, slot registry logs, and a scraped snapshot of fare/ancillary offerings for external validation. Sample: 20 U.S. airlines, route-product panel, annual and monthly splits over two decades. Baselines: (A) Lovell-style accounting markup decomposition without product differentiation; (B) standard BLP demand with markups recovered assuming Bertrand and exogenous attributes; (C) OLS/IV price regressions with naive cost measures. Proposed model: static random-coefficients BLP multi-product demand; supply FOC GMM estimating conduct parameter theta and markups; MC/ASM constructed per formula below. Marginal-cost construction formula: for stage-length bin s, MC_per_ASM_s = (operating_expense_s × share_s_fuel) / total_ASM_s for fuel component and similarly for nonfuel component, then route-level MC = sum_s (MC_per_ASM_s × route_ASM_share_s). Instruments and identification: slot reassignments, discrete aircraft gauge events, staggered basic-economy rollouts, carrier-specific fuel exposure × stage length, emergency maintenance shocks. Metrics: first-stage F-statistics, Kleibergen-Paap, Anderson-Rubin and CLR confidence intervals, R-squared of annual markup-change decomposition, root mean squared error of predicted markups, bootstrap confidence intervals for consumer surplus changes, minimum detectable effects by market slice. Experimental setup: estimate baseline on full panel; run IV first-stage diagnostics; compute markups and decompose year-to-year changes into cost, demand, and differentiation components; compute welfare counterfactuals under theta=1 (Bertrand), thetâ, and a conservative Cournot-like alternative. Ablations: (1) remove product-differentiation terms to measure change in explained markup variation; (2) treat ancillaries as exogenous versus endogenous (two-stage selection probit + demand) to assess bias; (3) alternative MC allocation rules (equal-weight vs ASM-weight) to measure sensitivity. External validation: compare DB1B ancillary incidence against hand-audited carrier disclosures and scraped fare snapshots; report adjusted estimates if systematic underreporting is found.</w:t>
      </w:r>
    </w:p>
    <w:p>
      <w:r>
        <w:t xml:space="preserve"> </w:t>
      </w:r>
    </w:p>
    <w:p>
      <w:pPr>
        <w:pStyle w:val="Heading2"/>
      </w:pPr>
      <w:r>
        <w:t>Risk Factors And Limitations</w:t>
      </w:r>
    </w:p>
    <w:p>
      <w:r>
        <w:t>Data measurement risks: DB1B may underreport ancillaries and T-100 allocations may misclassify joint costs, producing biased MC/ASM. Instrument risks: instruments may violate exclusion restrictions if slot changes or gauge events correlate with local demand shocks; weak instruments may produce wide IV intervals. Model risk: static BLP ignores rich dynamic pricing and inventory control, so residual dynamics may bias markup attribution to differentiation. Conduct ambiguity: estimated conduct parameter may be weakly identified, producing a range of plausible markup values that limit precise welfare claims. Computational limits: full-sample BLP with multi-product ancillaries and IVs is compute-intensive and may require aggregation that reduces granularity. External validity: results cover U.S. carriers and regulatory context and may not generalize to other countries or low-cost business models. Ethical and privacy constraints: hand audits and booking-system reconciliations require data access agreements and care to protect passenger privacy. Scalability: route-by-route MDEs may be large, forcing aggregation that can mask heterogeneous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