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epistemic_virtue_collective_success</w:t>
      </w:r>
    </w:p>
    <w:p>
      <w:r>
        <w:t xml:space="preserve"> </w:t>
      </w:r>
    </w:p>
    <w:p>
      <w:pPr>
        <w:pStyle w:val="Heading2"/>
      </w:pPr>
      <w:r>
        <w:t>Title</w:t>
      </w:r>
    </w:p>
    <w:p>
      <w:r>
        <w:t>Experimental and agent-based evaluation of individual epistemic virtue effects on scientific replicability and error-correction</w:t>
      </w:r>
    </w:p>
    <w:p>
      <w:r>
        <w:t xml:space="preserve"> </w:t>
      </w:r>
    </w:p>
    <w:p>
      <w:pPr>
        <w:pStyle w:val="Heading2"/>
      </w:pPr>
      <w:r>
        <w:t>Short Hypothesis</w:t>
      </w:r>
    </w:p>
    <w:p>
      <w:r>
        <w:t>Providing structured dissent channels and transparency cues that increase individual intellectual humility causes higher team-level replication success and faster time-to-error-correction compared to teams without those interventions.</w:t>
      </w:r>
    </w:p>
    <w:p>
      <w:r>
        <w:t xml:space="preserve"> </w:t>
      </w:r>
    </w:p>
    <w:p>
      <w:pPr>
        <w:pStyle w:val="Heading2"/>
      </w:pPr>
      <w:r>
        <w:t>Related Work</w:t>
      </w:r>
    </w:p>
    <w:p>
      <w:r>
        <w:t>Existing work divides into two main approaches. Structural or incentive-based accounts explain collective scientific reliability by systemic forces such as reward structures, division of cognitive labor, and market-like invisible-hand dynamics; these accounts often rely on macro-level models and policy levers but commonly assume individual dispositions are negligible. Individual-virtue and collective-virtue literatures emphasize traits like intellectual humility and dissent-supportive norms, but evidence is mostly correlational and internal-validity is limited. Agent-based models (ABMs) simulate micro-to-macro dynamics linking agent traits and networks to epistemic outcomes, yet many ABMs use stylized priors and lack ethnographic calibration or empirical validation. Empirical studies of the credibility crisis produce descriptive replication rates and open-data uptake benchmarks, but causal tests of whether changing dispositions or local norms improves replicability are rare. Limitations across these strands include weak causal identification, measurement heterogeneity for virtues, limited mediation testing, and insufficient model-to-field linkage.</w:t>
      </w:r>
    </w:p>
    <w:p>
      <w:r>
        <w:t xml:space="preserve"> </w:t>
      </w:r>
    </w:p>
    <w:p>
      <w:pPr>
        <w:pStyle w:val="Heading2"/>
      </w:pPr>
      <w:r>
        <w:t>Abstract</w:t>
      </w:r>
    </w:p>
    <w:p>
      <w:r>
        <w:t>This project tests whether individual epistemic virtues, operationalized primarily as intellectual humility and dissent uptake, causally contribute to collective scientific success measured by replication outcomes and time-to-error-correction. We combine a cluster-randomized lab experiment (2x2 factorial: structured dissent channel and transparency cue), a stepped-wedge field pilot across mid-size labs, ethnographic observation, and an agent-based model (ABM) calibrated to empirical priors. Main contributions are (1) pre-registered causal estimands and statistical models for primary outcomes, (2) multi-method validated measures of epistemic dispositions and team processes, and (3) open-source ABM code tied to lab and field data to test counterfactual institutional interventions. Expected outcome is a quantified estimate of the effect of virtue-supporting interventions on replication success and correction latency, plus validated mediation evidence on how dispositions map onto collective outcomes. Results will inform whether policy levers should target structural incentives alone or also cultivate individual epistemic virtues.</w:t>
      </w:r>
    </w:p>
    <w:p>
      <w:r>
        <w:t xml:space="preserve"> </w:t>
      </w:r>
    </w:p>
    <w:p>
      <w:pPr>
        <w:pStyle w:val="Heading2"/>
      </w:pPr>
      <w:r>
        <w:t>Experiments</w:t>
      </w:r>
    </w:p>
    <w:p>
      <w:r>
        <w:t>Datasets: (A) Lab dataset: 40-80 teams of 4-6 graduate students or cognitive scientists performing target belief-update tasks and staged replication tasks; pre-treatment baseline measures of competence and motives. (B) Field dataset: stepped-wedge rollout across 20-40 clusters (labs) with 8-20 members each; repeated measures of publication outcomes, data/code release dates, and intra-lab process measures over 12 months. (C) Synthetic ABM dataset: N=50 agents per run (sensitivity runs 50-200) with trait priors for competence, intellectual humility, open-mindedness, and truth-vs-status motivation. Baselines: (i) control (no intervention), (ii) structural-only baseline implementing incentive reweighting (replication credit) without virtue-focused channels, (iii) ABM baseline with no virtue trait (virtue parameter set to zero). Experimental design: Lab: cluster-randomized 2x2 factorial assigning teams to structured-dissent channel vs control and transparency cue vs control; primary unit: team. Field: stepped-wedge cluster rollout of open-data mandate and structured-dissent policy with pre-specified roll dates. Evaluation metrics: Primary: replication success (binary at study level, aggregated to team/cluster) analyzed by multilevel logistic regression with random intercepts for cluster and team; time-to-error-correction (continuous) analyzed by mixed-effects survival model (Cox or accelerated failure time). Secondary: proportion correct belief-updates (continuous), rate of integrating dissenting evidence (proportion), data-sharing latency in days (continuous). Mediation: estimate natural indirect effects for mediator variables (dissent uptake, trust calibration) using multilevel mediation models or multilevel structural equation models; explain mediation term as the part of the total effect that operates through the mediator. Statistical details: specify intraclass correlation coefficients ICC=0.05-0.15 for power; pre-specify Bayesian priors for main effects (effect-size prior d=0.3) and use weakly informative priors for variance components. Power and sample-size: generate simulation-based power curves for hierarchical models and indirect effects; run at least 1000 simulation replicates per scenario. Ablations and comparisons: (1) 2x2 ablation in lab comparing four arms (dissent only, transparency only, both, control); (2) ABM ablation toggling virtue trait versus zero-virtue and toggling network topology (centralized vs decentralized) to compare time-to-correction and replication rates; (3) comparison of structural-only incentive intervention against virtue-supporting interventions. Pre-registration: register primary estimands (average treatment effect on replication-success, natural indirect effects for mediators), analytic models, covariates (team size, baseline competence, publication pressure), multiplicity correction plan, and stopping/adaptive rules prior to data collection. Reproducibility: share analysis code, ABM code, and simulation notebooks with fixed RNG seeds.</w:t>
      </w:r>
    </w:p>
    <w:p>
      <w:r>
        <w:t xml:space="preserve"> </w:t>
      </w:r>
    </w:p>
    <w:p>
      <w:pPr>
        <w:pStyle w:val="Heading2"/>
      </w:pPr>
      <w:r>
        <w:t>Risk Factors And Limitations</w:t>
      </w:r>
    </w:p>
    <w:p>
      <w:r>
        <w:t>Measurement error and social-desirability bias in self-report scales; observer effects from ethnography altering behavior; small true effect sizes leading to low power despite planned samples; non-compliance and partial adoption of interventions in field rollout; attrition and missing data that violate missing-at-random assumptions; IRB or ethical constraints limiting intervention intensity; ABM mis-specification where micro-rules fail to capture real interaction dynamics; limited generalizability across disciplines and cultures if measurement invariance fails; computational cost for large ABM sensitivity sweeps; ambiguity in adjudicating replication-success (binary vs graded) that may change effect estimates; challenges mapping ABM outputs to empirical measures leading to model rejection for reasons unrelated to substantive hypotheses.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