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women_founders_gender_visibility_de</w:t>
      </w:r>
    </w:p>
    <w:p>
      <w:r>
        <w:t xml:space="preserve"> </w:t>
      </w:r>
    </w:p>
    <w:p>
      <w:pPr>
        <w:pStyle w:val="Heading2"/>
      </w:pPr>
      <w:r>
        <w:t>Title</w:t>
      </w:r>
    </w:p>
    <w:p>
      <w:r>
        <w:t>Mixed-methods causal analysis of visibility practices among women tech founders in Germany</w:t>
      </w:r>
    </w:p>
    <w:p>
      <w:r>
        <w:t xml:space="preserve"> </w:t>
      </w:r>
    </w:p>
    <w:p>
      <w:pPr>
        <w:pStyle w:val="Heading2"/>
      </w:pPr>
      <w:r>
        <w:t>Short Hypothesis</w:t>
      </w:r>
    </w:p>
    <w:p>
      <w:r>
        <w:t>Participation in targeted accelerator programs causes an increase in adoption of formal gender-equity practices (redoing gender) within 18 months among women-led German tech startups, relative to matched non-participant startups.</w:t>
      </w:r>
    </w:p>
    <w:p>
      <w:r>
        <w:t xml:space="preserve"> </w:t>
      </w:r>
    </w:p>
    <w:p>
      <w:pPr>
        <w:pStyle w:val="Heading2"/>
      </w:pPr>
      <w:r>
        <w:t>Related Work</w:t>
      </w:r>
    </w:p>
    <w:p>
      <w:r>
        <w:t>Prior work documents that women tech founders challenge traditional gender roles and face gendered barriers in funding, leadership, and visibility. Existing studies are mainly descriptive, use small or convenience samples, rely on cross-sectional interviews or surveys, and rarely link text-based evidence to causal tests. Computational text studies often lack validated construct mapping for gendered language, and network analyses frequently omit privacy risk and controlled-access plans. Causal inference work in entrepreneurship usually treats policy or program effects at a coarse level and does not account for staggered rollouts or time-varying treatment timing. Intersectional small-n groups are often tokenized or underpowered. Limitations: weak construct validity for doing/redoing/undoing gender, limited longitudinal or quasi-experimental designs, inadequate measurement-error modeling for automated classifiers, and insufficient treatment of network disclosure risk.</w:t>
      </w:r>
    </w:p>
    <w:p>
      <w:r>
        <w:t xml:space="preserve"> </w:t>
      </w:r>
    </w:p>
    <w:p>
      <w:pPr>
        <w:pStyle w:val="Heading2"/>
      </w:pPr>
      <w:r>
        <w:t>Abstract</w:t>
      </w:r>
    </w:p>
    <w:p>
      <w:r>
        <w:t>This study examines whether and how visibility practices of women tech founders in Germany reproduce, restructure, or eliminate gendered norms. We combine longitudinal ethnographies and in-depth interviews with computational analysis of founder texts and multiplex networks, and apply quasi-experimental causal inference to policy and accelerator exposures. The core deliverable is a harmonized codebook that maps doing, redoing, and undoing gender to measurable indicators: a continuous NLP score for agency versus communality language, a document-derived policy-strength index, and temporal indicators of women-founder funding share. We train and validate German-English classifiers on an annotated corpus, construct time-stamped founder-investor-mentor networks, and estimate staggered difference-in-differences and event-study models to identify causal effects. The main contribution is validated measures plus causal evidence on pathways from program exposure and network position to organizational gender practices and funding outcomes. Expected impact: clear, reproducible measures and policy-relevant estimates that inform accelerators, funders, and regional policy on effective levers to change gendered visibility in tech entrepreneurship.</w:t>
      </w:r>
    </w:p>
    <w:p>
      <w:r>
        <w:t xml:space="preserve"> </w:t>
      </w:r>
    </w:p>
    <w:p>
      <w:pPr>
        <w:pStyle w:val="Heading2"/>
      </w:pPr>
      <w:r>
        <w:t>Experiments</w:t>
      </w:r>
    </w:p>
    <w:p>
      <w:r>
        <w:t>Datasets: Unternehmensregister firm records, Crunchbase firm and funding records, accelerator rosters with participation dates, ~200 pitch decks (OCR), regional news corpus (&gt;1,000 articles), LinkedIn profiles with consent, 80 in-depth interviews, 30 longitudinal ethnographies (12–18 months each), and a 2,000-document human-annotated German-English gold corpus. Sample sizes: target N ≈ 1,200 startups total, oversample ≈ 500 women-led startups, 30 ethnographies. Baselines: matched non-participant startups (propensity score matched), male-founder subsample, and pre-treatment trends. Metrics: policy-strength index (0–1), agency-communality NLP score (standardized continuous), change in women-founder funding share (percentage points), log funding amount, classifier precision/recall/F1, intercoder Cohen's kappa. Main causal setup: pre-register staggered difference-in-differences estimators (Callaway &amp; Sant'Anna implementation) and event-study windows; compute propensity scores and apply entropy balancing before estimation. Alternative causal tests: synthetic control for region-level shocks. Network analysis: build multiplex graphs (founder-investor-mentor-board) and estimate temporal ERGMs or SAOMs (these are statistical models for network tie dynamics) to assess gendered tie formation; link network metrics to outcomes in multilevel models. Classifier training: fine-tune German BERT variants, 10-fold cross-validation, held-out test set, monitor label drift with distributional tests. Ablations: (1) remove network covariates from causal models; (2) remove NLP covariates; (3) use measurement-error-aware Bayesian models for noisy classifier outputs. Evaluation: report average treatment effects with bootstrapped 95% CIs, standardized effect sizes, classifier F1 on held-out set, Cohen's kappa for human coding, and posterior intervals for Bayesian estimates. Power and pre-analysis: run simulation-based power checks for staggered DiD under heterogeneous timing to confirm detectability of small-to-moderate effects (d≈0.25) given planned N and cluster structure.</w:t>
      </w:r>
    </w:p>
    <w:p>
      <w:r>
        <w:t xml:space="preserve"> </w:t>
      </w:r>
    </w:p>
    <w:p>
      <w:pPr>
        <w:pStyle w:val="Heading2"/>
      </w:pPr>
      <w:r>
        <w:t>Risk Factors And Limitations</w:t>
      </w:r>
    </w:p>
    <w:p>
      <w:r>
        <w:t>Measurement error: NLP proxies may misclassify dialects, sociolects, or short texts, producing biased estimates; classifier drift over time can reduce validity. Coverage bias: Crunchbase and registries under-cover small, informal, or non-English startups, biasing samples. Nonresponse and recruitment shortfalls: oversample targets for women founders may not be met, producing lower power and selection bias. Small-n intersectional strata: subgroup counts may be too small for reliable quantitative inference and may require reliance on qualitative evidence. Causal confounding: unobserved differences may remain after balancing, especially for program selection into accelerators. Network disclosure risk: publishing graphs risks re-identification; perturbation reduces analytic utility and may bias ERGM estimates. Resource limits: 30 long ethnographies are time- and labor-intensive and may require fallback that reduces longitudinal depth. Legal constraints: explicit consent requirements for sensitive attributes can limit available data. Generalization: results are specific to Germany and its regional ecosystems and may not generalize to other countries or sectors. Compute and scalability: transformer training, OCR, and temporal network models require substantial compute and may limit iterative retraining.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