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santander_export_logistics_regression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Instrumental-variable and panel regression analysis of logistics and certification effects on firm export growth in Santander, Colombia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one-day reduction in average customs clearance time causes, on average, at least a 1% increase in quarterly export revenue for exporting firms in Santander, Colombia, holding observable firm, product, and time controls constant.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uses cross-sectional OLS, firm fixed-effects panels, gravity models, and heterogeneous-firm structural models (Melitz-style) to study how logistics, standards, and finance affect trade. Gravity and PPML (Poisson pseudo-maximum-likelihood) approaches capture bilateral trade flows but do not identify firm-level causal effects. Firm-panel OLS and fixed-effects regressions control for time-invariant unobservables but remain vulnerable to time-varying confounders (for example, simultaneous investments that reduce clearance time and raise exports). Instrumental-variable (IV) and difference-in-differences (DiD) designs have been applied to policy rollouts, yet many studies face weak instruments, limited administrative linkage between shipments and firm finances, and small treated samples. Input-output (TiVA) based value-added decompositions help estimate domestic value added but suffer from measurement error when allocated to firms. Existing methods thus trade off external validity (large-sample gravity) and causal credibility (smaller IV/DiD studies) and often lack integrated logistics shipment-level data, robust power calculations, and pre-specified estimator hierarchies.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tests whether reducing logistics frictions—measured by customs clearance times—and raising certification attainment cause measurable export revenue growth for firms in Santander, Colombia. Using linked shipment-level customs logs, firm financials, product-trade microdata (2010–2020), and TiVA-based value-added allocations, we estimate causal effects with a pre-registered estimator hierarchy: primary panel IV for clearance time (instrumented by exogenous port-digitization dates or local port congestion shocks), and staggered DiD with robust timing estimators for pilots. We complement reduced-form estimates with PPML gravity and Melitz-style structural calibrations to assess aggregate implications. Main contributions are (1) a reproducible, pre-specified causal pipeline that integrates logistics shipment data with firm finances, (2) clear primary estimators and power targets for realistic pilot sample sizes, and (3) policy-relevant elasticities that map clearance-time reductions to percent changes in export revenue. Expected outcome: quantified, policy-actionable effects of logistics and certification on firm export performance that inform targeted trade-facilitation interventions.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Customs shipment extract (Santander ports, 2010–2020) with clearance times and HS codes; (2) CEPII BACI or UN Comtrade for market-level demand proxies; (3) National firm registry / ORBIS for ownership, size, and financials for ~128 firms plus extended cohorts where available; (4) TiVA input-output tables for domestic value-added shares; (5) 3PL and port-digitization rollout logs; (6) firm surveys for missing working-capital and certification dates. Unit of analysis: firm-quarter and firm-product-year panels. Baselines and estimators: (A) OLS cross-section and pooled OLS; (B) firm and product fixed-effects panel OLS; (C) primary estimator: panel IV using exogenous variation in port-digitization dates or daily port congestion shocks as instruments for customs clearance time; report first-stage F-statistics; (D) staggered DiD with Callaway &amp; Sant’Anna and Sun &amp; Abraham estimators for pilot rollouts; (E) PPML gravity at firm-product-destination aggregated level as structural robustness; (F) Melitz-style calibration to translate firm-level elasticities to aggregate trade impacts. Evaluation metrics: percent change in export revenue (main outcome), export participation probability (extensive margin), intensive margin (revenue per product), certification attainment rate, domestic value-added share change, root-mean-square-error (RMSE) for predictive fits, bias and 95% CI coverage for causal estimates, first-stage F-statistic for IV, and balance/attrition rates. Experimental setup: pre-analysis plan pre-registered; primary estimation path: IV panel for clearance-time elasticity; robustness checks in order: fixed-effects OLS, DiD where a clean rollout exists, synthetic control for regional shocks. Ablation/comparison studies: (1) IV versus OLS/FE to quantify bias from endogeneity; (2) include vs exclude logistics mediators (clearance time, documentary rejection rate) to test mediation impact; (3) TiVA-based value-added allocation versus revenue-share allocation to test sensitivity of domestic VA results. Power and sample guidance: target MDEs 15–20% revenue increase or 5–8 p.p. participation change with 80% power, alpha=0.05; example calculation: for a 15% mean effect and baseline SD(log revenue)=0.5, two-sided test requires ~34 firms per arm under simple randomized design; for cluster/ICC=0.1 plan for 40–50 firms per arm. Pre-specify complier definitions and missingness handling: multiple imputation and inverse-probability weighting will be used per pre-analysis plan.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Data access: customs and firm financial extracts may be delayed or incomplete, limiting sample size and linkage quality. 2) Measurement error: TiVA IO allocation to firms and HS-code harmonization can misestimate domestic value-added and product shares. 3) Endogeneity: clearance time may be endogenous to unobserved firm investments, making IV validity critical; weak instruments would bias estimates. 4) Noncompliance and attrition: firms in pilots may not take-up vouchers or may drop out, reducing effective sample and complicating inference. 5) Spillovers: geographic or network spillovers can contaminate control groups and bias DiD estimates. 6) Small-sample inference: many causal methods lose power with small treated cohorts, making estimates imprecise. 7) External validity: results from Santander may not generalize to other regions or sectors. 8) Temporal changes: post-pandemic structural shifts may alter baseline variances and effect sizes over time. 9) Computational limits: structural calibration and synthetic-control suites require careful tuning and may be compute-intensive for bootstrap inference. 10) Ethical/data-governance constraints: anonymization limits public data release, which restricts external replication using raw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