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effectuation_precommitment_international_performance</w:t>
      </w:r>
    </w:p>
    <w:p>
      <w:r>
        <w:t xml:space="preserve"> </w:t>
      </w:r>
    </w:p>
    <w:p>
      <w:pPr>
        <w:pStyle w:val="Heading2"/>
      </w:pPr>
      <w:r>
        <w:t>Title</w:t>
      </w:r>
    </w:p>
    <w:p>
      <w:r>
        <w:t>Estimating the causal effect of firm pre-commitments on SME international performance using staggered difference-in-differences and instrumental variables</w:t>
      </w:r>
    </w:p>
    <w:p>
      <w:r>
        <w:t xml:space="preserve"> </w:t>
      </w:r>
    </w:p>
    <w:p>
      <w:pPr>
        <w:pStyle w:val="Heading2"/>
      </w:pPr>
      <w:r>
        <w:t>Short Hypothesis</w:t>
      </w:r>
    </w:p>
    <w:p>
      <w:r>
        <w:t>SMEs that initiate a high-irreversibility pre-commitment in a foreign market experience higher international performance (measured by export growth and market survival) within three years than comparable SMEs that do not initiate such pre-commitments.</w:t>
      </w:r>
    </w:p>
    <w:p>
      <w:r>
        <w:t xml:space="preserve"> </w:t>
      </w:r>
    </w:p>
    <w:p>
      <w:pPr>
        <w:pStyle w:val="Heading2"/>
      </w:pPr>
      <w:r>
        <w:t>Related Work</w:t>
      </w:r>
    </w:p>
    <w:p>
      <w:r>
        <w:t>Prior work contrasts effectuation (flexible, actor-driven decision rules) with predictive planning and connects real-options logic (staging, pre-commitments, affordable loss) to firm internationalization. Empirical studies show correlations between effectual behavior and better outcomes in uncertain markets, often using cross-sectional surveys or case studies. Limitations in existing approaches include weak causal identification (many studies are correlational), coarse or ad-hoc measures of commitment irreversibility, limited use of quasi-experimental estimators, little attention to spillovers across markets, and sparse validation of instruments that proxy for endogenous decisions. Existing mixed-method or SEM studies provide measurement depth but rarely combine cohort-based causal estimators (staggered DiD), strong instrument diagnostics, and latent-variable measurement of irreversibility in a single reproducible pipeline.</w:t>
      </w:r>
    </w:p>
    <w:p>
      <w:r>
        <w:t xml:space="preserve"> </w:t>
      </w:r>
    </w:p>
    <w:p>
      <w:pPr>
        <w:pStyle w:val="Heading2"/>
      </w:pPr>
      <w:r>
        <w:t>Abstract</w:t>
      </w:r>
    </w:p>
    <w:p>
      <w:r>
        <w:t>This study addresses whether and how firm pre-commitments—intentional, market-specific resource or contractual actions that are hard to reverse—cause improved international performance for small and medium enterprises (SMEs). We combine cohort-based staggered difference-in-differences (a quasi-experimental method that compares treated and control groups over time) with an instrumental-variable strategy and latent-variable measurement (factor models that infer an underlying score from imperfect indicators). The main contributions are (1) an operational, reproducible IrreversibilityScore that blends sunk capital, termination costs, asset specificity, and contract duration; (2) layered causal identification using cohort ATT estimators, IVs, and dynamic panel models; and (3) a mixed-methods pipeline that tests experiential learning as a moderator. Expected outcomes are robust causal estimates of the effect of pre-commitments on export growth and market survival and validated measurement tools that can be reused in policy and academic work. The project clarifies when pre-commitments work and for whom in international contexts.</w:t>
      </w:r>
    </w:p>
    <w:p>
      <w:r>
        <w:t xml:space="preserve"> </w:t>
      </w:r>
    </w:p>
    <w:p>
      <w:pPr>
        <w:pStyle w:val="Heading2"/>
      </w:pPr>
      <w:r>
        <w:t>Experiments</w:t>
      </w:r>
    </w:p>
    <w:p>
      <w:r>
        <w:t>Datasets: firm×market×year panel built from Orbis/Amadeus, Crunchbase/Dealroom, UN Comtrade or customs microdata, GDELT/Factiva event archives, PATSTAT, and a founder survey (pilot: 332 New Zealand SMEs). Time span: 2015–2023. Treatment definition: initiating a pre-commitment at t0 where either (a) sunk-capex ratio &gt;0.40, or (b) contractual termination penalty &gt;20% of committed investment, or (c) contract duration &gt;=3 years. Baselines: (1) naive OLS with controls, (2) staggered DiD (Callaway &amp; Sant'Anna) with firm×market and year fixed effects, (3) Sun &amp; Abraham event-study, (4) PSM-weighted DiD, (5) IV/2SLS using pre-specified instruments (founder diaspora ties, sector-level VC inflow shocks, exogenous policy shocks), (6) system GMM for dynamics, (7) dynamic SEM with latent IrreversibilityScore. Evaluation metrics: cohort ATT estimates with 95% CIs, first-stage F-statistic (&gt;10 target), pre-trend p-values, export growth % change (0–2 years), hazard ratios for time-to-first-international-sale, 3-year survival rate difference, root mean squared error (RMSE) for predictive checks, and power/MDE tables. Experimental setup: (A) Primary test: estimate ATT_k for k=1,2,3 years post t0 with cluster-robust SEs (cluster by firm; two-way robustness firm×destination); (B) Instrument diagnostics: report F-stat, Hansen/Sargan, Conley bounds, and Oster sensitivity; (C) Placebo tests: lead treatments and placebo outcomes; (D) Ablation studies: compare latent IrreversibilityScore (CFA/IRT) versus rule-based binary flag, run models with and without IVs, and compare exclusion of related markets versus network-adjusted estimators (exposure mapping). Additional checks: treatment intensity (affordable-loss scale), ITT versus complier (LATE via IV) estimates, and falsification on pre-treatment windows.</w:t>
      </w:r>
    </w:p>
    <w:p>
      <w:r>
        <w:t xml:space="preserve"> </w:t>
      </w:r>
    </w:p>
    <w:p>
      <w:pPr>
        <w:pStyle w:val="Heading2"/>
      </w:pPr>
      <w:r>
        <w:t>Risk Factors And Limitations</w:t>
      </w:r>
    </w:p>
    <w:p>
      <w:r>
        <w:t>Weak or invalid instruments (instruments may predict outcomes through channels other than pre-commitment) and low first-stage strength; measurement error or missing data for CAPEX, contract terms, and penalties leading to biased estimates; selection bias and non-random treatment timing that violates parallel trends for DiD; interference and spillovers across markets (one market action affects others) complicating standard estimators; limited time periods (small T) that reduce reliability of system GMM and increase instrument proliferation; survey nonresponse and attrition that reduce effective sample size and external validity; legal or access constraints on customs microdata; findings may not generalize beyond sampled countries or sectors (e.g., New Zealand SMEs in high-tech and advanced manufacturing). Technical terms: "instrument" means a variable used to mimic random assignment when the treatment is endogenous; "parallel trends" means treated and control groups would follow similar paths absent treatment; "interference" means one unit's treatment affects another unit's outcome.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