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agentarceval_mva</w:t>
      </w:r>
    </w:p>
    <w:p>
      <w:r>
        <w:t xml:space="preserve"> </w:t>
      </w:r>
    </w:p>
    <w:p>
      <w:pPr>
        <w:pStyle w:val="Heading2"/>
      </w:pPr>
      <w:r>
        <w:t>Title</w:t>
      </w:r>
    </w:p>
    <w:p>
      <w:r>
        <w:t>AgentArcEval: a scenario-driven evaluation method for assessing architectures of foundation-model-based agents</w:t>
      </w:r>
    </w:p>
    <w:p>
      <w:r>
        <w:t xml:space="preserve"> </w:t>
      </w:r>
    </w:p>
    <w:p>
      <w:pPr>
        <w:pStyle w:val="Heading2"/>
      </w:pPr>
      <w:r>
        <w:t>Short Hypothesis</w:t>
      </w:r>
    </w:p>
    <w:p>
      <w:r>
        <w:t>Agent architectures that include both modular memory and an explicit critic component will increase task success rate by at least 5 percentage points compared to otherwise identical architectures without those components, controlling for backbone size and task family.</w:t>
      </w:r>
    </w:p>
    <w:p>
      <w:r>
        <w:t xml:space="preserve"> </w:t>
      </w:r>
    </w:p>
    <w:p>
      <w:pPr>
        <w:pStyle w:val="Heading2"/>
      </w:pPr>
      <w:r>
        <w:t>Related Work</w:t>
      </w:r>
    </w:p>
    <w:p>
      <w:r>
        <w:t>Existing evaluation work focuses on capability benchmarks for large language models (LLMs), tool-use benchmarks, and standalone safety/robustness tests. Agent frameworks and datasets test single behaviors (e.g., problem solving, API calling, code generation) or provide leaderboard-style scoring for model outputs. Prior evaluation methods typically treat models as black boxes, use single-task or static test sets, and report scalar metrics without prespecified calibration of automated detectors (e.g., hallucination detectors) or measurement-error propagation. Reproducibility efforts emphasize dataset and code release but often lack deterministic orchestration, signed provenance, and metric registries with formal sampling protocols. Composite scoring practices are ad hoc or opaque, and human-evaluation workflows vary in rater counts and calibration. These gaps leave unresolved issues: architecture-specific effects are conflated with backbone size and randomness; detector errors are not propagated into confidence intervals; and there is limited systematic stress-testing (adversarial tool failures, latency, reward-hacking) that targets agent modularity.</w:t>
      </w:r>
    </w:p>
    <w:p>
      <w:r>
        <w:t xml:space="preserve"> </w:t>
      </w:r>
    </w:p>
    <w:p>
      <w:pPr>
        <w:pStyle w:val="Heading2"/>
      </w:pPr>
      <w:r>
        <w:t>Abstract</w:t>
      </w:r>
    </w:p>
    <w:p>
      <w:r>
        <w:t>We introduce AgentArcEval, a method for evaluating the architectures of agents built on foundation language models. The method uses a catalogue of general agent scenarios and stress tests to generate concrete evaluation cases that reflect compound architectures, non-determinism, and continuous evolution. AgentArcEval supplies a machine-readable metric registry with formal definitions and sampling protocols, prespecified statistical analyses (mixed-effects models with random intercepts for task and seed), detector calibration sets, and a provenance ledger to enable deterministic replay and audit. The main contribution is a reproducible, scenario-driven pipeline that (1) isolates architecture effects (memory, planner, critic) from backbone size, (2) propagates detector uncertainty into metric confidence intervals, and (3) provides composite-score governance and sensitivity analyses. Expected outcomes are defensible, auditable comparisons of agent architectures that quantify trade-offs among capability, robustness, efficiency, and interpretability, and a Minimal Viable Artifact (MVA) for community validation.</w:t>
      </w:r>
    </w:p>
    <w:p>
      <w:r>
        <w:t xml:space="preserve"> </w:t>
      </w:r>
    </w:p>
    <w:p>
      <w:pPr>
        <w:pStyle w:val="Heading2"/>
      </w:pPr>
      <w:r>
        <w:t>Experiments</w:t>
      </w:r>
    </w:p>
    <w:p>
      <w:r>
        <w:t>Datasets: three task families (multi-step planning; tool/API use; coding/debugging). Generate 500 seed scenarios per family (1,500 scenarios). Each scenario is run with 3 random seeds producing 4,500 deterministic instances. Scenario generator outputs template_id, template_version, generator_seed, and scenario parameters (horizon, branching factor, information sparsity, tool error model). Baselines: Random policy; Heuristic baseline; ReAct-style loop; LangChain loop; Tree-of-Thoughts (ToT) planner. Backbones: two sizes representative of small and medium/large (approx. 7B and 70B parameters) where backbone means the underlying language model used for reasoning. Architecture factorial: memory (on/off) × planner (deterministic/stochastic) × critic (on/off) = 8 configurations. Seeds: 3 per configuration. Metrics: primary: task success rate (binary per scenario), hallucination rate = (# hallucinated claims)/(# factual claims assessed), instruction-following fidelity = proportion of required subtasks completed correctly; secondary: explanation faithfulness (correlation between claimed reason and perturbation-based influence), human comprehensibility (mean Likert score), compute-normalized performance (task success per GPU-hr). Detector calibration: collect 1,000 human labels per automated detector (hallucination, safety, fidelity); report ROC-AUC, FPR/FNR, and bootstrap CIs; target ROC-AUC ≥ 0.85. Statistical plan: prespecify alpha=0.05, power=0.8, minimum detectable effect size 5 percentage points on task success; primary analysis uses mixed-effects model: outcome ~ architecture + backbone_size + (1|task) + (1|seed); report effect estimates ± CIs, ANOVA planned contrasts, Benjamini–Hochberg FDR across metric families. Composite scoring: elicit weights via Analytic Hierarchy Process (AHP) + Best–Worst Scaling; publish primary weighted composite and alternatives (Pareto front, ±20% weight sensitivity). Reproducibility: containerize runs, record image digests, store provenance ledger with run_id, config hashes, seeds, and trace_hash; CI tests re-run representative slices for bitwise reproducibility. Ablations and stress tests: (A) remove memory module; (B) disable critic; (C) increase tool error rates to 20% (simulated mislabel/stale outputs); (D) inject latency 0–5s; compare architecture effect sizes under each stress. Human evaluation: subjective metrics annotated with 3 independent raters per item, target inter-rater kappa κ≥0.7; adjudication on disagreements. Acceptance: pre-register all metric formulas, missing-run rules (timeouts counted as failed unless tool error), and multiple-testing corrections prior to execution.</w:t>
      </w:r>
    </w:p>
    <w:p>
      <w:r>
        <w:t xml:space="preserve"> </w:t>
      </w:r>
    </w:p>
    <w:p>
      <w:pPr>
        <w:pStyle w:val="Heading2"/>
      </w:pPr>
      <w:r>
        <w:t>Risk Factors And Limitations</w:t>
      </w:r>
    </w:p>
    <w:p>
      <w:r>
        <w:t>Technical failure modes: deterministic replay may break for non-deterministic tool adapters or external APIs; container pinning may not capture hardware-specific nondeterminism (e.g., CUDA nondeterminism). Data and evaluation bias: synthetic scenario generators and selected task families may not cover real-world diversity; annotator bias can affect subjective metrics despite calibration. Detector limitations: automated detectors may have lower performance on rare failure modes, and propagated uncertainty may remain large for low-prevalence events. Scalability and cost: running factorial evaluations at larger backbone sizes incurs high GPU-hr costs and storage for traces and provenance; compute-normalized comparisons may still favor smaller backbones for some metrics. Generalization limits: architecture effects found on the three task families may not generalize to other domains (e.g., multimodal agents). Governance and security: signed provenance and anomaly detectors reduce but do not eliminate gaming; adversaries may craft attacks that evade detectors. Ethical and legal constraints: IRB and data licensing may restrict open release of some scenarios or annotation traces, limiting reproducibility for sensitive items.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