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refa_devsecops_longitudinal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longitudinal mixed-effects evaluation of automated pipeline enforcement to align DevOps with IEC 62443-4-1 security compliance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Automated enforcement of IEC 62443-4-1 mapped controls in CI/CD pipelines reduces the median mean time-to-remediate (MTTR) for pipeline-detected security findings compared to the pre-intervention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integrates security into CI/CD (DevSecOps) using automation, policy-as-code, and guardrails to reduce vulnerabilities and speed remediation. Existing studies often use single-site or short-term designs, evaluate static checklists rather than continuous telemetry, or measure security posture with coarse binary indicators. Limitations include: few longitudinal, multi-site evaluations that measure causal impact over time; inadequate telemetry validation (leading to measurement error); limited handling of time-varying confounders in analysis; sparse attention to legal/privacy constraints for developer telemetry; and little guidance on prescriptive lifecycles that map industrial security standards (e.g., IEC 62443-4-1) into daily DevOps workflows. These gaps make it hard to generalize claims that pipeline automation both improves compliance and preserves delivery throughput.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investigates whether prescriptive, automated pipeline enforcement of controls mapped to IEC 62443-4-1 improves continuous security compliance without harming DevOps delivery. We propose to evaluate REFA, a security-compliant DevOps lifecycle adaptation, through a longitudinal, multi-site field study combining telemetry, attestations, and qualitative data. The approach measures primary endpoints—median MTTR for pipeline-detected violations, production deployment frequency normalized per active service, and a weighted compliance coverage score—using mixed-effects and time-to-event models to estimate intervention effects over time. Main contributions are: (1) a reproducible telemetry contract and validation protocol for pipeline events, (2) a prescriptive mapping of IEC 62443-4-1 controls into CI/CD enforcement primitives, and (3) an empirical, causal assessment of automation’s impact on remediation speed and delivery throughput. Expected outcome: operational evidence on trade-offs between continuous compliance and delivery, plus reusable artifacts (schema, validation kit, analysis scripts) for practitioners and researchers.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telemetry from 2 sites (2–3 months) and full study telemetry from 15–20 heterogeneous production sites over 12–18 months; synthetic reproducible dataset for method release; qualitative interview transcripts and artifacts from 6–8 deep sites. Baselines: pre-intervention telemetry (within-site), manual compliance workflow baseline (human review, no automated attestations), and pipeline enforcement without attestations (policy checks only). Evaluation metrics: primary—median MTTR (hours) for pipeline-detected violations, deployment frequency (deployments/week per active service, where active service = service_id with ≥1 prod deploy in baseline), compliance coverage score (0–100 weighted by control maturity 0–4); secondary—percent artifacts with provenance, fraction of pipeline jobs using OIDC, secrets-detected per 1k commits, IaC-policy-violation rate per 1k commits, audit-log completeness. Experimental setup: quarterly measurement cadence; pre-specify SAP; run mixed-effects models (random intercepts/slopes by site) and AR(1) residuals (AR(1) = autocorrelation over time); time-to-event analyses (Cox proportional hazards and AFT models) for MTTR; interrupted time-series and difference-in-differences for staggered rollouts; marginal structural models / IPW if time-varying confounding detected. Validation and power: use pilot SD/ICC estimates for simulation-based power; adjudication sample-size target ~200 positive events per key metric for sensitivity/specificity CI estimation (or 5–10% sampling where volume high). Ablation studies: (A) REFA full enforcement vs enforcement without automated attestations, (B) full automated evidence vs hybrid (automated checks + manual attestations), (C) varying compliance coverage weights to test score sensitivity. Outputs: pre-registered results, code notebooks that ingest schema→ETL→survival analysis on synthetic data.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Low event rates: rare security findings reduce statistical power for MTTR and precision in adjudication. Measurement error: incorrect or missing telemetry fields, mis-timestamped events, or inconsistent service_id mappings can bias estimates. Heterogeneity: site variation in toolchains, org structure, and maturity limits generalization. Causal inference limits: staggered rollouts and voluntary adoption can introduce time-varying confounding and contamination; instrumental variables may be weak. Privacy and legal constraints: cross-border data transfer rules, employee-consent limits, or employer counsel restrictions may reduce available telemetry or require aggregation. Scalability and compute: long-term storage of high-volume telemetry and weekly validation can be resource-intensive. Survival model assumptions: proportional hazards may be violated (necessitating AFT/quantile approaches). No mitigation strategies are listed here per instruction.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