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frequency_metadescriptor_filtering</w:t>
      </w:r>
    </w:p>
    <w:p>
      <w:r>
        <w:t xml:space="preserve"> </w:t>
      </w:r>
    </w:p>
    <w:p>
      <w:pPr>
        <w:pStyle w:val="Heading2"/>
      </w:pPr>
      <w:r>
        <w:t>Title</w:t>
      </w:r>
    </w:p>
    <w:p>
      <w:r>
        <w:t>Variance-filtered frequency-domain metadescriptors for grouping concepts in nonstationary data streams</w:t>
      </w:r>
    </w:p>
    <w:p>
      <w:r>
        <w:t xml:space="preserve"> </w:t>
      </w:r>
    </w:p>
    <w:p>
      <w:pPr>
        <w:pStyle w:val="Heading2"/>
      </w:pPr>
      <w:r>
        <w:t>Short Hypothesis</w:t>
      </w:r>
    </w:p>
    <w:p>
      <w:r>
        <w:t>Filtering frequency components of sample feature vectors by their variance across data batches to form low-dimensional metadescriptors causes improved separation of concept-specific data chunks (higher clustering purity and ARI) compared to using raw features or unfiltered spectral features under the same streaming conditions.</w:t>
      </w:r>
    </w:p>
    <w:p>
      <w:r>
        <w:t xml:space="preserve"> </w:t>
      </w:r>
    </w:p>
    <w:p>
      <w:pPr>
        <w:pStyle w:val="Heading2"/>
      </w:pPr>
      <w:r>
        <w:t>Related Work</w:t>
      </w:r>
    </w:p>
    <w:p>
      <w:r>
        <w:t>Time-frequency analysis methods such as STFT spectrograms, wavelet scalograms, multitaper spectral estimates, and synchrosqueezing (SST) provide localized frequency information but are sensitive to window and smoothing choices and produce high-dimensional representations. Adaptive filtering and online parameter methods adjust operators but do not produce compact, semantically meaningful metadescriptors. Variational mode decomposition (VMD) and ridge extraction track components but can fail when components overlap or under low SNR. Existing meta- or feature-learning approaches produce compact embeddings but often ignore explicit frequency-component selection and streaming variance patterns. Bootstrap and ensemble methods for confidence intervals exist, yet their validity under strong nonstationarity and streaming constraints is under-explored. Limitations: (1) lack of principled, streaming-friendly frequency selection that uses cross-batch variance; (2) few methods combine variance-filtered spectral components with clustering for concept identification; (3) bootstrap calibration is under-specified for drifting regimes.</w:t>
      </w:r>
    </w:p>
    <w:p>
      <w:r>
        <w:t xml:space="preserve"> </w:t>
      </w:r>
    </w:p>
    <w:p>
      <w:pPr>
        <w:pStyle w:val="Heading2"/>
      </w:pPr>
      <w:r>
        <w:t>Abstract</w:t>
      </w:r>
    </w:p>
    <w:p>
      <w:r>
        <w:t>We address the problem of identifying and grouping evolving concepts in nonstationary data streams using frequency-domain structure. We introduce a frequency-filtering metadescriptor: compute per-sample frequency components (from short-time transforms or multitaper spectra), measure each frequency bin's variance across recent data batches, select high-variance bins, and aggregate them into a low-dimensional metadescriptor per chunk. The method emphasizes informative frequency components while reducing dimensionality and preserving interpretable spectral content. Main contributions are (1) a concrete variance-filtering recipe that yields compact metadescriptions for streaming data, (2) an online, latency-bounded parameter-selection protocol for choosing transform and filter settings, and (3) a reproducible evaluation plan including CI calibration for streaming uncertainty. Expected outcomes are improved concept separation (measured by clustering metrics), clearer component visualization in the original domain, and stable operation under gradual and abrupt drift. The approach is designed to be simple to implement, interpretable, and compatible with classical and learned time-frequency estimators.</w:t>
      </w:r>
    </w:p>
    <w:p>
      <w:r>
        <w:t xml:space="preserve"> </w:t>
      </w:r>
    </w:p>
    <w:p>
      <w:pPr>
        <w:pStyle w:val="Heading2"/>
      </w:pPr>
      <w:r>
        <w:t>Experiments</w:t>
      </w:r>
    </w:p>
    <w:p>
      <w:r>
        <w:t>Datasets: synthetic seeded generators (crossing chirps, AM–FM bursts, transient spikes, TVAR-simulated noise) with fixed seeds; real datasets: PhysioNet EEG collections (e.g., CHB-MIT), MIMII or NASA IMS machine-vibration subsets, and Librispeech or TIMIT segments for speech. Baselines: (A) STFT spectrogram + clustering, (B) multitaper spectra + clustering, (C) wavelet scalogram + clustering, (D) SST ridge extraction + clustering, (E) VMD-based component features, (F) learned TF encoder embeddings without variance filtering. Evaluation metrics: clustering adjusted rand index (ARI), cluster purity, silhouette score; IF-MSE (instantaneous frequency mean squared error, IF = frequency of a component over time), ridge precision and recall with 50 ms temporal tolerance, component reconstruction normalized MSE (NMSE), spectral concentration (entropy), CI coverage (nominal 95%), detection delay (ms), per-frame runtime latency (ms), and memory (MB). Experimental setup: SNR grid = {-10, 0, 10, 20} dB; drift scenarios = {gradual monotone IF drift, abrupt add/remove component, recurring seasonal components}; per-condition runs = 30 random seeds; fixed frame-hop and sampling rates specified per dataset. Parameterization: candidate parameter set size |Θ| in {40,80}, per-frame evaluated subset |S_t| in {4,8}, variance-filter thresholds swept across quantiles {0.5,0.75,0.9}. Ablations: (1) metadescriptor dimension reduction: PCA vs sparse selection vs no reduction; (2) variance-filtering threshold ablation; (3) online parameter selector vs static best-offline parameter; (4) inclusion vs exclusion of ML-prior fusion. Statistical testing: paired tests (paired t-test or Wilcoxon if nonnormal) at α=0.05 for primary metrics; report mean, std, and 95% CI over seeds.</w:t>
      </w:r>
    </w:p>
    <w:p>
      <w:r>
        <w:t xml:space="preserve"> </w:t>
      </w:r>
    </w:p>
    <w:p>
      <w:pPr>
        <w:pStyle w:val="Heading2"/>
      </w:pPr>
      <w:r>
        <w:t>Risk Factors And Limitations</w:t>
      </w:r>
    </w:p>
    <w:p>
      <w:r>
        <w:t>Discrete-time and sampling constraints: aliasing and Nyquist limits may invalidate frequency bins at low sampling rates; theoretical bounds require stated sampling-rate assumptions. Bootstrap invalidity: block or circular bootstrap can fail under abrupt regime shifts or very fast drift, producing miscalibrated CIs. Mixing and dependence: concentration bounds assume specific mixing rates; if data violate these (strong long-range dependence) performance degrades. Component overlap: when instantaneous frequencies cross or overlap within window resolution, metadescriptors may mix concepts and reduce separability. ML-prior failure modes: learned priors can mislead classical estimators under domain shift or adversarial noise. Latency and compute: real-time targets (10–50 ms) may not be met on low-power devices, especially with large candidate sets or multitaper ensembles. Dataset and evaluation bias: public datasets may not represent all operational regimes, limiting generalization. Parameter sensitivity: method depends on window, taper, and variance-threshold choices which can produce brittle results if not tuned for the domain.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