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sim_to_exp_ssda_concrete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simulation-driven self-supervised domain adaptation framework for concrete damage classification using coda-wave and multimodal surface sensors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self-supervised pretraining on simulator posterior information and applying joint domain adversarial training, minimum class confusion loss, and BYOL-style self-supervision will reduce classification error on a held-out experimental concrete test set by at least 5 percentage points compared to a model trained only on labeled synthetic data without domain adaptation.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uses simulation data, self-supervised learning (SSL), and domain adaptation to reduce labeled data needs for structural damage tasks. Common approaches include synthetic-to-real transfer with domain adversarial training (aligning features across domains), contrastive SSL (learning invariances from data augmentations), and pseudo-labeling or fine-tuning on a small set of real labels. Limitations in existing methods are: (1) weak treatment of simulator mismatch—simulator parameters are rarely updated with explicit Bayesian or ABC diagnostics; (2) SSL objectives are often single-modal or not physics-aware, limiting transfer when physical cues differ between sim and lab; (3) acceptance rules for pseudo-labels and active learning are heuristic and not empirically validated; (4) evaluation often uses overall accuracy only and omits calibration, domain-gap statistics (e.g., MMD/CORAL) and spatial localization metrics for cracks. These gaps leave open unresolved issues in reproducibility, identifiability of simulator priors, and robust deployment under measurement noise.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transferring damage classification knowledge from physics-based simulations to real laboratory measurements of concrete using coda-wave and multimodal surface sensors. We propose a unified framework that (1) generates large-scale labeled synthetic coda-wave and surface-data using multiscale concrete degradation simulations, (2) estimates a simulator posterior via sequential Monte Carlo Approximate Bayesian Computation (SMC-ABC) to quantify simulator parameter uncertainty, and (3) injects that posterior information into a self-supervised domain adaptation (SSDA) pipeline combining domain adversarial training (aligns feature distributions), minimum class confusion loss (reduces class overlap), and BYOL-style contrastive bootstrapping (learns robust representations without labels). Main contributions are an explicit ABC-based simulator update loop, posterior-conditioned SSL objectives, and empirically testable pseudo-labeling and active learning rules. Expected outcome is a reproducible pipeline that reduces reliance on experimental labels and yields improved real-world classification accuracy, better calibration (trustworthy probabilities), and improved spatial localization of cracks compared to simulation-only baselines.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dataset of 1,000 synthetic multimodal samples (RGB, DIC strain, IR, depth, ultrasonic B-scan, AE catalog, crack masks) and 1,000 real-lab multimodal samples. Splits: synth train 800/val 100/test 100; real unlabeled pool 800; real labeled validation 100; real test 100. Label budget: initial 100 labeled real for fine-tuning; active learning budget 400 labels in rounds of 50. Baselines: (A) ResNet-50 trained on synthetic labels only (no adaptation); (B) ResNet-50 with domain adversarial training only; (C) BYOL-style SSL pretrain on mixed sim+real embeddings without adversary; (D) Minimum class confusion (MCC) adaptation only; (E) Full proposed pipeline (SMC-ABC posterior injection + BYOL + domain adversarial + MCC). Metrics: classification accuracy, per-class recall and precision, F1-score, mask Intersection-over-Union (IoU) for crack localization, Expected Calibration Error (ECE) for probability calibration, Maximum Mean Discrepancy (MMD, a measure of distribution difference), CORAL (covariance alignment metric), domain-classifier AUC. Experimental setup: use ResNet-50 backbone with projection dim 128; batch size 256 mixed sim/real; learning rates head=1e-3 backbone=1e-4; run 5 random seeds per configuration; report mean and 95% bootstrap confidence intervals; use paired Wilcoxon signed-rank tests with Bonferroni correction for comparisons. Ablations: (1) remove ABC posterior conditioning to test effect of simulator updates; (2) remove each SSL objective one at a time (BYOL, adversarial, MCC) to measure marginal contribution; (3) vary ABC distance weights α,β and temperature λ (three settings each) and report posterior sensitivity and downstream accuracy; (4) test active learning acquisition scores (BALD only vs BALD+domain-distance). Report compute: pilot SSL training ≈20–40 GPU-hours; provide per-experiment wall-time and GPU counts.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simulator parameter non-identifiability (posterior multimodality or low effective sample size) can produce misleading posterior-conditioned augmentations; ABC distance hyperparameters (α,β,λ) may bias updates. Data and annotation biases: registration errors between CT and surface modalities and noisy human labels can corrupt pseudo-labeling and evaluation; inter-annotator variability may reduce effective label quality. Scalability and compute: high-fidelity 3D FEM and SMC-ABC sampling are compute intensive and may limit dataset scale; ROM surrogates may not generalize beyond validated parameter ranges. Generalization limits: framework may not cover unseen crack types, severe sensor failures, or extreme domain shifts (e.g., heavy soiling, radically different sensors). Evaluation limits: pilot sizes (1k+1k) may miss small effect sizes and require larger labeled real budgets to detect modest improvements. Operational risks: over-reliance on pseudo-labels can propagate errors if confidence thresholds are mis-specified.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