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locomamba_mamba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Vision-driven quadrupedal locomotion via end-to-end deep reinforcement learning using selective state-space MAMBA fusion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Replacing a standard RSSM-style world model with stacked MAMBA selective state-space fusion layers during end-to-end vision-driven policy training causes a statistically significant decrease in sim-to-real transfer loss (mean torque error ≤10%) and an increase in on-robot success rate (≥10% absolute) compared to an RSSM baseline, measured under the same training budget and seed set.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Model-free deep RL methods (e.g., PPO, SAC) can learn locomotion but are sample-inefficient and struggle with long-horizon planning. Model-based methods (e.g., DreamerV2, MBPO) use latent world models (RSSM-style recurrent state-space models) to improve sample efficiency by imagining rollouts; however, RSSM-like models update dense recurrent states that can be costly for long horizons and may not fuse high-resolution visual tokens efficiently. Cross-modal transformer and attention-based fusion methods enable rich vision-proprioception integration but incur quadratic time/memory cost with token length and are sensitive to appearance changes. Prior sim-to-real pipelines rely on heavy domain randomization and calibrated simulators but still report nontrivial torque mismatch and contact-distribution shifts. Limitations across these approaches include insufficient long-horizon foresight, high inference cost for high-resolution vision, limited selective cross-modal fusion, and unclear, hard-to-reproduce sim-to-real pass criteria.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vision-driven quadrupedal locomotion by introducing an end-to-end deep RL framework that fuses proprioception and depth using stacked MAMBA selective state-space modules as the cross-modal backbone. MAMBA (a selective state-space model) scans and updates only selected token subsets across time and space, producing long-horizon latent predictions with near-linear time and memory scaling (linear in token count rather than quadratic). Proprioceptive inputs are embedded by a small MLP and depth frames are patchified by a convolutional encoder into spatial tokens; stacked MAMBA layers selectively fuse these tokens to produce immediate state estimates and short-term look-ahead useful for planning. The main contribution is demonstrating that selective state-space fusion yields better sim-to-real fidelity, lower torque error, and improved robustness to image resolution and token length than RSSM-style baselines under the same compute budget. Expected outcomes are higher on-robot success rates, reduced contact-distribution shift, and a reproducible HIL validation protocol with concrete pass criteria.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 and environments: procedurally generated terrains with deterministic seeds: flat, fractal roughness, stairs, slopes, and obstacle fields; sensor models for RGB+depth+IMU with configurable noise; HIL calibration dataset: 200 real hardware episodes for actuator/sensor id (torque, contacts, latency). Pretraining data: perception synthetic:real ratio 5:1, real fine-tune 50k–100k frames. Baselines: (1) RSSM-based world model + same perception encoder + PPO; (2) DreamerV2; (3) MBPO; (4) model-free PPO and SAC with proprioception+depth encoder. Metrics: primary — on-robot success rate (task completion), mean absolute torque error (%) between commanded and measured torque, contact-impulse KL divergence (smoothed histogram with 64 bins), normalized energy per meter (mechanical work/m), slip frequency (slips per meter), recovery time after perturbation (s), latency p50/p95 (ms). Statistical design: seed set {0,1,2,3,4,5,6,7}, N=8 per condition for medium effects, N=16 for small effects; report bootstrap 95% CIs, two-sided t-test and permutation tests, Benjamini–Hochberg correction for multiple comparisons. Training specifics: perception pretrain 200k–1M frames (self-supervised reconstruction + contrastive loss), world-model bootstrap 1–3M env steps, BC gait bootstrap 100–300k steps, policy optimization 50–200M env steps. Optimizers: Adam; world-model LR=1e-4, actor-critic LR=3e-4; batch sizes 256; gradient clipping norm=0.5. Imagined vs real rollouts: start 4:1 imagined:real, anneal to 1:1; imagination horizons ablated {5,15,50}. Vision resolutions: depth 64×64 and 128×128; estimated GFLOPs per step ≈6 GFLOPs (64×64) and ≈25 GFLOPs (128×128) depending on temporal modules. Compute budget: baseline sweep 8 GPUs (A5000 class) × 7 days; full sweep 8 GPUs × 14 days. Ablations: remove MAMBA (RSSM), disable depth fusion, vary latent sizes {(100,48),(200,96),(300,128)}, horizons {5,15,50}, with/without perception pretrain, disable contrastive/inverse-dynamics losses. HIL pass criteria and pilot statistics (pilot sample sizes in parentheses): mean torque error ≤10% (pilot: RSSM 14.6% ±3.8 SD, MAMBA 8.9% ±3.1 SD, n=200 episodes), contact-impulse KL ≤0.2 (pilot: RSSM 0.34 ±0.07, MAMBA 0.18 ±0.05, n=200), watchdog recall ≥0.98 on adversarial validation (pilot: recall 0.985, false-positive rate 0.11, detection latency median 40 ms, n=10,000 adversarial events). Reporting: per-run GPU-hours, FLOPs estimate, p50/p95 latencies, and full config (git hash, Docker image, seeds) in experiment registry.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perception failures under extreme occlusion or novel appearances may corrupt MAMBA tokens and degrade control; world-model collapse leading to poor imagined rollouts; watchdog false negatives causing unsafe commands. Data/evaluation biases: procedural terrains may not cover all real-world distributions; HIL calibration may miss rare hardware states. Scalability and compute limits: larger vision resolutions or long horizons increase GFLOPs and may violate onboard latency budgets (40–80 ms target). Generalization limits: learned policies may not transfer to robots with actuator dynamics outside domain-randomized ranges or to terrains with friction/geometry beyond calibrated bounds. Safety limits: formal guarantees are conservative; learned components lack strict verification and can produce unexpected outputs under adversarial input. Reproducibility constraints: full replication requires comparable GPU resources and exact hardware calibration data stored in the registry.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