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if_ssm_hypergnn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Incidence-first hypergraph neural network with state-space models for node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incidence-first hypergraph neural network that fuses role-based and adjacency-based node features via state-space model processing and a learnable fusion mechanism will produce higher node classification accuracy than clique-expansion GNN baselines on datasets with genuine higher-order relationships.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includes graph neural networks (GNNs) on pairwise graphs, hypergraph neural networks that operate on hyperedges, and state-space models (SSMs) used for modeling long-range dependencies. Clique-expansion methods convert hyperedges to pairwise edges (clique expansion) but lose multi-way structure and scale hyperedge influence uniformly, which can hide higher-order patterns. Many hypergraph GNNs use simple adjacency-like diffusion or attention over pairwise projections and therefore cannot distinguish different hyperedge incidence patterns that share the same clique graph. Prior SSMs capture long-range temporal or sequential patterns but have not been widely combined with incidence-first hypergraph operators; when they are used in graph settings they typically act on nodes only and do not respect hyperedge topology. Common weaknesses in the literature are loss of higher-order signal, over-smoothing in deep stacks, unstable spectral behavior of learned hyperedge weights, and limited scalability to skewed hyperedge-size distributions.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node classification in datasets where relationships naturally involve groups of entities (hyperedges) rather than only pairs. We propose a hybrid model that constructs an incidence-first hypergraph representation to capture multi-way relations, processes hyperedge and node embeddings with state-space models (SSMs) to model longer-range and role-aware dynamics, and combines role-based and adjacency-based embeddings via a learnable transformer-like fusion. The core contributions are (1) an incidence-first diffusion operator that preserves hyperedge incidence information and separates expressivity from clique-expansion methods, (2) dual SSM modules operating on hyperedges and nodes to capture different interaction scales, and (3) a spectrally stabilized learnable hyperedge-weighting and residual architecture to prevent numerical instability and over-smoothing. The expected outcome is richer node representations that improve node classification on datasets with higher-order structure while remaining scalable and reproducible. The method emphasizes shape-safe sparse computations (no dense operator materialization) and provides a practical spectral-radius stabilization routine for stable training.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real — DBLP (authors↔papers hyperedges), 20 Newsgroups (documents↔words), Instacart sessions (basket↔items), CORUM protein complexes; synthetic — hypergraph stochastic block model (HSBM) with planted communities, scale-heterogeneous Zipf hyperedges, long-range chain hypergraphs. Baselines: HGNN, HyperGCN, HypergraphAttention, GCN and GAT on clique-expansion, and MLP on node features. Evaluation metrics: node accuracy, macro F1, micro F1, AUROC, expected calibration error (ECE), per-class F1, and robustness curves under random hyperedge removal and label noise. Experimental setup: transductive regime with stratified 20% train / 10% val / 70% test; inductive node and inductive edge holdouts; few-shot k={1,5,10} labels/class. Training: early stopping patience 50, run ≥10 random seeds per configuration, hyperparameter grid search over learning rate {1e-4,3e-4,1e-3}, weight decay {0,1e-5,1e-4}, dropout {0,0.2,0.5}, depth {2,4,8}, SSM state {8,32,64}. Spectral stabilization: sparse power iteration k=20 to estimate spectral radius; by default detach spectral scaling from gradients. Ablations: compare S_sym vs S_rw normalization, fixed vs learnable hyperedge weights, detached spectral scaling vs differentiable spectral penalty, single-scale vs multi-scale SSM, and residual gating on depth. Statistical protocol: report mean and 95% bootstrap CIs over seeds, perform paired Wilcoxon signed-rank tests with Benjamini–Hochberg correction for multiple comparisons.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Over-smoothing: deep stacks of hypergraph diffusion can wash out class signals. Spectral-scaling bias: detaching spectral normalization (not backpropagating through power-iteration estimates) may bias optimization and should be evaluated. Mixed-precision and numerical stability: low-precision kernels can introduce instability in power iteration and SSM internal recurrences. Hyperedge-size skew: extremely large hyperedges (very many members) can blow up nnz(B) and memory or create dominant signals that swamp small edges. GPU sparse nondeterminism: sparse backend operations may be non-deterministic across runs, affecting exact reproducibility. Compute and memory limits: SSM state sizes and number of hyperedges increase per-layer cost O(nnz(B)·d + (|V|+|E|)·d·k_ssm) and may be infeasible on limited hardware. Generalization limit: gains depend on true higher-order signal; if the data is effectively pairwise, incidence-first modeling may not help and could overfit. Evaluation bias: class imbalance and split choices can exaggerate apparent gains without careful statistical controls.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