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gnn_aclp</w:t>
      </w:r>
    </w:p>
    <w:p>
      <w:r>
        <w:t xml:space="preserve"> </w:t>
      </w:r>
    </w:p>
    <w:p>
      <w:pPr>
        <w:pStyle w:val="Heading2"/>
      </w:pPr>
      <w:r>
        <w:t>Title</w:t>
      </w:r>
    </w:p>
    <w:p>
      <w:r>
        <w:t>Graph neural networks for analog circuit link prediction using subgraph-based learning, LLM-assisted netlist conversion, and physics-aware surrogates</w:t>
      </w:r>
    </w:p>
    <w:p>
      <w:r>
        <w:t xml:space="preserve"> </w:t>
      </w:r>
    </w:p>
    <w:p>
      <w:pPr>
        <w:pStyle w:val="Heading2"/>
      </w:pPr>
      <w:r>
        <w:t>Short Hypothesis</w:t>
      </w:r>
    </w:p>
    <w:p>
      <w:r>
        <w:t>Integrating subgraph-based GNN training, an LLM-powered netlist conversion step, and a calibrated physics surrogate will increase port-level link-prediction F1 by at least 5 absolute percentage points over standard GNN baselines on circuit-disjoint test sets.</w:t>
      </w:r>
    </w:p>
    <w:p>
      <w:r>
        <w:t xml:space="preserve"> </w:t>
      </w:r>
    </w:p>
    <w:p>
      <w:pPr>
        <w:pStyle w:val="Heading2"/>
      </w:pPr>
      <w:r>
        <w:t>Related Work</w:t>
      </w:r>
    </w:p>
    <w:p>
      <w:r>
        <w:t>Prior work applies graph neural networks (GNNs) and heuristic rules to predict connections in circuit netlists. Existing approaches include node- or edge-centric GNNs for link prediction, hand-crafted name- and topology-based rules, and sparse application of simulation evidence. Limitations are: (1) topology-only models miss local subgraph patterns that indicate functional coupling, (2) many methods assume uniform netlist formats and fail when formats vary, (3) data scarcity and class imbalance (few positive links, many negative pairs) reduce generalization, (4) few methods incorporate physics evidence (AC/DC transfer metrics) during training, and (5) negative sampling is often naive, producing easy negatives that overestimate performance. These gaps lead to brittle predictions, poor cross-format compatibility, and limited traceability to simulation evidence.</w:t>
      </w:r>
    </w:p>
    <w:p>
      <w:r>
        <w:t xml:space="preserve"> </w:t>
      </w:r>
    </w:p>
    <w:p>
      <w:pPr>
        <w:pStyle w:val="Heading2"/>
      </w:pPr>
      <w:r>
        <w:t>Abstract</w:t>
      </w:r>
    </w:p>
    <w:p>
      <w:r>
        <w:t>We address port-level link prediction in analog circuit netlists by combining subgraph-aware GNN learning, a language-model-assisted netlist conversion pipeline, and a physics-aware surrogate for low-cost evidence. The proposed system, GNN-ACLP, uses a subgraph-extraction framework to train GNNs on local topological patterns and node/edge attributes for precise port-level labels. A Netlist Babel Fish component converts heterogeneous netlist formats into a stable graph schema using retrieval-augmented generation with a large language model, improving dataset interoperability. To reduce expensive SPICE calls, a calibrated surrogate predicts frequency-domain transfer metrics (H(f), loop-gain) and provides uncertainty; high-uncertainty cases are sent to multi-fidelity SPICE checks. We release a curated SpiceNetlist seed and define a synthetic corpus generation plan. Contributions are: (1) a subgraph-based GNN pipeline for multi-label link prediction, (2) an LLM-enabled netlist conversion tool for format robustness, (3) a physics-guided surrogate with uncertainty for cost-effective labeling, and (4) reproducible datasets and evaluation protocols. We expect improved accuracy, better format adaptability, and traceable physics evidence for each label.</w:t>
      </w:r>
    </w:p>
    <w:p>
      <w:r>
        <w:t xml:space="preserve"> </w:t>
      </w:r>
    </w:p>
    <w:p>
      <w:pPr>
        <w:pStyle w:val="Heading2"/>
      </w:pPr>
      <w:r>
        <w:t>Experiments</w:t>
      </w:r>
    </w:p>
    <w:p>
      <w:r>
        <w:t>Datasets: use the SpiceNetlist seed (775 annotated circuits, 7 topology families, 10 component classes) and a synthetic corpus targeted at 10,000 generated circuits plus 1,000 curated real circuits. Splits: circuit-disjoint 80/10/10 (train/val/test) with an additional block-disjoint validation set. Candidate edges: restrict to node pairs within 3 hops or inside the same functional block; exclude global rails and substrate nets. Labeling: record continuous physics metrics per pair (H(f), Yij(f), loop-gain, DC sensitivities). Negative sampling: initial mix easy 70% / hard 25% / PU 5%, training pos:neg ≈ 1:10 with curriculum shifting to increase hard negatives as model improves. Baselines: hand-rule classifier (net-name + rail mask), R-GCN, GAT, Edge-Conditioned GCN, Graph Transformer. Metrics: per-label precision, recall, F1, ROC-AUC, PR-AUC, micro/macro averages, calibration (Brier score, Expected Calibration Error), and circuit-aware metrics (ΔDC bias, Δ|H|, loop-gain change). Simulation: multi-fidelity tiers—Tier A cached multiport AC/DC sweeps (reuse for O(100) pairs), Tier B reduced-order targeted SPICE probes, Tier C transient/Monte Carlo for ambiguous/stability cases. Surrogate evaluation: report MAE(|H(f)|) across band (target ≤ 2 dB) and empirical 90% interval coverage (target ≥ 0.9). Active learning: uncertainty-driven acquisition, top-K per circuit (K start=20 → reduce to 5–10), simulate rounds with label budget tied to CPU-hours. Ablations: remove subgraph-based SEAL training (use full-graph features only), disable Netlist Babel Fish (use raw format), physics-layer off (no surrogate or physics loss), no-frequency features, and no-rail-mask. Statistical tests: bootstrap 95% CIs per-circuit, McNemar for paired edge decisions, paired Wilcoxon for continuous deltas, Benjamini-Hochberg correction for multiple comparisons. Power target: ≥300 circuits per major condition to detect ~5% absolute F1 differences at α=0.05. Runtime &amp; budgets: provision ~4,000 CPU-hours and 500–1,000 GPU-hours; inference target interactive latency &lt;5 s per typical circuit; report memory footprints and scaling with candidate counts.</w:t>
      </w:r>
    </w:p>
    <w:p>
      <w:r>
        <w:t xml:space="preserve"> </w:t>
      </w:r>
    </w:p>
    <w:p>
      <w:pPr>
        <w:pStyle w:val="Heading2"/>
      </w:pPr>
      <w:r>
        <w:t>Risk Factors And Limitations</w:t>
      </w:r>
    </w:p>
    <w:p>
      <w:r>
        <w:t>1) Surrogate miscalibration: the physics surrogate may under- or over-estimate uncertainty, causing missed fallbacks to SPICE or excess SPICE runs. (Explanation: surrogate predicts physics metrics and must give reliable confidence numbers.) 2) Label noise and ambiguity: threshold-based labels (e.g., |H| &gt; -40 dB) can be sensitive to operating point and produce noisy ground truth. 3) Data bias from synthetic generation: synthetic circuits may not cover real-world family diversity, causing distribution shift. 4) Negative-sample leakage: improper split or hard-negative selection can leak information across train/val/test and inflate performance. 5) Compute limits: multi-fidelity simulation and active learning rounds may exceed available CPU/GPU budgets. 6) Format-conversion failures: the LLM-based Netlist Babel Fish can produce incorrect translations for rare or highly obfuscated netlist styles. 7) Generalization limits: models may fail on unseen topology families, extreme process corners, or proprietary IP patterns. 8) Privacy/IP constraints: real circuit data may be restricted, reducing available labeled real-world cases. 9) Threshold sensitivity: chosen numeric thresholds (dB cutoffs, bias ratios) may not transfer across families and require per-family tuning. 10) Adversarial or brittle predictions: small changes (pin removal, renaming, or sizing) may flip predictions unexpectedly, limiting deployment without human review.</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