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ai_hpc_efficiency</w:t>
      </w:r>
    </w:p>
    <w:p>
      <w:r>
        <w:t xml:space="preserve"> </w:t>
      </w:r>
    </w:p>
    <w:p>
      <w:pPr>
        <w:pStyle w:val="Heading2"/>
      </w:pPr>
      <w:r>
        <w:t>Title</w:t>
      </w:r>
    </w:p>
    <w:p>
      <w:r>
        <w:t>Systematic evaluation of AI-driven scheduling, autotuning, and fault detection for improving operational efficiency in high-performance computing systems</w:t>
      </w:r>
    </w:p>
    <w:p>
      <w:r>
        <w:t xml:space="preserve"> </w:t>
      </w:r>
    </w:p>
    <w:p>
      <w:pPr>
        <w:pStyle w:val="Heading2"/>
      </w:pPr>
      <w:r>
        <w:t>Short Hypothesis</w:t>
      </w:r>
    </w:p>
    <w:p>
      <w:r>
        <w:t>Calibrated AI methods (machine learning and optimization) applied to scheduling, autotuning, and fault detection will reduce energy-to-solution by at least 5% and 95th-percentile queue wait times by at least 10% compared to production heuristics under fixed power caps, while keeping anomaly false-positive rate ≤5%.</w:t>
      </w:r>
    </w:p>
    <w:p>
      <w:r>
        <w:t xml:space="preserve"> </w:t>
      </w:r>
    </w:p>
    <w:p>
      <w:pPr>
        <w:pStyle w:val="Heading2"/>
      </w:pPr>
      <w:r>
        <w:t>Related Work</w:t>
      </w:r>
    </w:p>
    <w:p>
      <w:r>
        <w:t>Prior work applies machine learning to scheduling, reinforcement learning for placement, Bayesian optimization for autotuning, surrogate models to emulate performance, and statistical or ML methods for anomaly detection. Common limitations are: evaluations on small or synthetic workloads rather than production traces; few studies that quantify telemetry and inference costs (extra CPU, network, energy); weak statistical designs (low trial counts, no pre-registration, unclear confidence intervals); simulators with limited fidelity or no calibration to holdout traces; lack of calibrated uncertainty mapping (raw ensemble variance used directly as confidence); privacy and governance impacts not quantified; and missing reproducibility artifacts (trace-replay, seeded CI, containerized baselines). These weaknesses leave open whether reported improvements hold under operator constraints, telemetry budgets, and safety/rollback requirements.</w:t>
      </w:r>
    </w:p>
    <w:p>
      <w:r>
        <w:t xml:space="preserve"> </w:t>
      </w:r>
    </w:p>
    <w:p>
      <w:pPr>
        <w:pStyle w:val="Heading2"/>
      </w:pPr>
      <w:r>
        <w:t>Abstract</w:t>
      </w:r>
    </w:p>
    <w:p>
      <w:r>
        <w:t>High-performance computing (HPC) operations can benefit from AI in scheduling, autotuning, surrogate modeling, fault detection, and automation, but reported gains often lack production-grounded evaluation. We propose a systematic, reproducible evaluation framework that measures how calibrated AI methods affect operational efficiency while respecting operator constraints. The approach collects and curates telemetry and job traces, calibrates a multi-fidelity simulator, implements uncertainty-aware ML and optimization policies, and evaluates them in shadow-mode on a production-like testbed. The main contribution is a pre-registered experimental protocol that includes statistically powered trials, explicit cost accounting for telemetry and inference, calibrated baselines (production scheduler, topology-aware heuristics, Bayesian autotuner, simple RL), and interpretable uncertainty-to-action rules. Expected outcomes are measurable improvements that meet operator thresholds (≥5% energy reduction, ≥10% tail wait-time reduction, ≥20% faster mean-time-to-detect with false positives ≤5%), published datasets and trace-replay artifacts, and clear metrics for telemetry overhead and privacy-utility trade-offs. This work produces auditable evidence to guide safe AI deployment in HPC operations.</w:t>
      </w:r>
    </w:p>
    <w:p>
      <w:r>
        <w:t xml:space="preserve"> </w:t>
      </w:r>
    </w:p>
    <w:p>
      <w:pPr>
        <w:pStyle w:val="Heading2"/>
      </w:pPr>
      <w:r>
        <w:t>Experiments</w:t>
      </w:r>
    </w:p>
    <w:p>
      <w:r>
        <w:t>Datasets: collect 10k–50k anonymized job traces (timestamped job submit/start/finish, job size, node allocation), 100k+ kernel and I/O microbenchmarks (runtime, power, I/O latency), and curated labeled anomalies (500–2,000 events per class seeded with synthetic injections plus human validation). Use a holdout set of 20% of traces for calibration validation. Baselines: production scheduler (backfill + greedy placement), topology-aware heuristic (rack-aware packing), Bayesian-optimization autotuner (rule-based BO), simple RL baseline (PPO with limited state), and a no-AI control (current operator policies). Metrics: energy-to-solution (kWh per job), makespan (wall-clock time), mean and 95th-percentile queue wait time, mean-time-to-detect faults (seconds), anomaly false-positive and false-negative rates, telemetry overhead (% node CPU, % link), inference latency (ms), and confidence calibration error (Brier score; expected calibration error). Experimental setup: run experiments on a 100–200 node testbed with heterogeneous nodes; enforce telemetry default sampling (power/thermal 1 Hz, NIC 0.5–1 Hz, storage 0.1–0.2 Hz) and measure overhead. Statistical design: 30 independent trials per condition for mean metrics; 100+ independent trials or 1,000 bootstrap resamples for 95th-percentile metrics; report means, medians, 95% confidence intervals, and perform paired t-test or Wilcoxon signed-rank test with Benjamini–Hochberg correction. Simulator calibration: use Bayesian calibration to match per-job runtime distributions, power profiles, network latency, and 95th-percentile queue times; require mean error &lt;5% and 95th-tail error &lt;10% on holdout traces. Ablation studies: (A) remove uncertainty calibration (use raw ensemble variance) to measure safety and rollback frequency; (B) disable surrogate models and run full cycle-accurate evaluations to measure cost-speed tradeoff; (C) vary telemetry cadence (0.1 Hz, 0.5 Hz, 1 Hz) to measure telemetry overhead vs model performance; (D) apply differential privacy at ε∈{0.5,1,2} and measure utility loss curves. Report full reproducibility artifacts: container images, seed control, trace-replay scripts, and pre-registered analysis plan.</w:t>
      </w:r>
    </w:p>
    <w:p>
      <w:r>
        <w:t xml:space="preserve"> </w:t>
      </w:r>
    </w:p>
    <w:p>
      <w:pPr>
        <w:pStyle w:val="Heading2"/>
      </w:pPr>
      <w:r>
        <w:t>Risk Factors And Limitations</w:t>
      </w:r>
    </w:p>
    <w:p>
      <w:r>
        <w:t>Technical failure modes: model-induced resource thrashing, erroneous placement causing thermal excursions, unsafe actuation leading to job starvation, and false reboots. Data and labeling biases: synthetic fault injections may not capture real failure diversity; label noise and low inter-annotator agreement can bias detectors. Simulator limits: mismatch in temporal autocorrelations, burst events, or rare extreme failures may invalidate simulator-based policy decisions. Telemetry interference: sampling and correlation IDs can add CPU and network overhead that perturbs workloads. Privacy-utility trade-off: differential privacy can reduce model accuracy; selecting ε trades accuracy for privacy. Scalability and compute limits: large-scale inference pools or retraining can be costly in kWh and node-hours. Non-stationarity: workload and hardware changes over time can degrade models if retraining cadence is insufficient. Operator acceptance: interpretability outputs (SHAP, GNN attention) may not translate to clear operator actions within latency budgets. Reproducibility constraints: dependency on specific testbeds and proprietary traces may limit external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