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facebook_cancer_prevention_rural</w:t>
      </w:r>
    </w:p>
    <w:p>
      <w:r>
        <w:t xml:space="preserve"> </w:t>
      </w:r>
    </w:p>
    <w:p>
      <w:pPr>
        <w:pStyle w:val="Heading2"/>
      </w:pPr>
      <w:r>
        <w:t>Title</w:t>
      </w:r>
    </w:p>
    <w:p>
      <w:r>
        <w:t>A theory-based, co-created Facebook-delivered web intervention to reduce multiple cancer risk behaviors among rural emerging adults: mixed-methods development and pilot randomized trial</w:t>
      </w:r>
    </w:p>
    <w:p>
      <w:r>
        <w:t xml:space="preserve"> </w:t>
      </w:r>
    </w:p>
    <w:p>
      <w:pPr>
        <w:pStyle w:val="Heading2"/>
      </w:pPr>
      <w:r>
        <w:t>Short Hypothesis</w:t>
      </w:r>
    </w:p>
    <w:p>
      <w:r>
        <w:t>Rural emerging adults randomized to the co-created, theory-based, Facebook-delivered tailored intervention will have a greater reduction in a composite standardized measure of six cancer risk behaviors at 6 months than those randomized to enhanced usual care.</w:t>
      </w:r>
    </w:p>
    <w:p>
      <w:r>
        <w:t xml:space="preserve"> </w:t>
      </w:r>
    </w:p>
    <w:p>
      <w:pPr>
        <w:pStyle w:val="Heading2"/>
      </w:pPr>
      <w:r>
        <w:t>Related Work</w:t>
      </w:r>
    </w:p>
    <w:p>
      <w:r>
        <w:t>Existing work has tested web- and social-media-based behavior change programs to reduce single risks (for example tobacco or alcohol) and has used short digital modules, static webpages, or broad social-media campaigns. Prior approaches often focus on one behavior at a time, lack community co-creation with rural users, and frequently assume stable high-bandwidth access. Tailoring in prior studies is typically rule-based but under-documented, making fidelity hard to assess. Many digital trials report usability and short-term engagement but provide limited linkage to objective registries (for example immunization registries) and weak missing-data sensitivity analyses. Remaining gaps are: multi-behavior interventions delivered to rural emerging adults, transparent and versioned tailoring rule sets, robust fidelity metrics, registry linkage for vaccination outcomes, and pre-specified advanced missing-data and mediation plans.</w:t>
      </w:r>
    </w:p>
    <w:p>
      <w:r>
        <w:t xml:space="preserve"> </w:t>
      </w:r>
    </w:p>
    <w:p>
      <w:pPr>
        <w:pStyle w:val="Heading2"/>
      </w:pPr>
      <w:r>
        <w:t>Abstract</w:t>
      </w:r>
    </w:p>
    <w:p>
      <w:r>
        <w:t>Rural emerging adults face multiple modifiable cancer risk behaviors and limited access to tailored prevention programs. We propose a mixed-methods pilot randomized trial of a co-created, theory-driven web intervention delivered via sealed Facebook groups and a Progressive Web App (PWA) to reduce six cancer risk factors. The intervention uses documented deterministic tailoring rules informed by self-efficacy and readiness measures and includes SMS fallback for low-connectivity users. Primary aims are feasibility (6-month retention) and usability (System Usability Scale). Secondary aims estimate effects on tobacco/vaping, HPV vaccination, alcohol use, sun protection, and physical activity and test mediators such as behavior-specific self-efficacy. Main contributions are (1) a reproducible, versioned JSON rule set for tailoring, (2) fidelity and contamination metrics, and (3) integrated registry linkage for vaccination validation. Expected outcomes are evidence on feasibility, preliminary effect-size estimates for each behavior, and operational templates (SAP, DSA/DTA, tech spec) to power a definitive trial and inform scalable rural implementation.</w:t>
      </w:r>
    </w:p>
    <w:p>
      <w:r>
        <w:t xml:space="preserve"> </w:t>
      </w:r>
    </w:p>
    <w:p>
      <w:pPr>
        <w:pStyle w:val="Heading2"/>
      </w:pPr>
      <w:r>
        <w:t>Experiments</w:t>
      </w:r>
    </w:p>
    <w:p>
      <w:r>
        <w:t>Dataset: Enroll N=150 rural emerging adults aged 18-25, randomized 1:1 to intervention (n=75) or enhanced usual care (n=75). Eligibility: rurality index above prespecified threshold, at least one target risk behavior at baseline. Baselines: enhanced usual care = static branded webpage linking CDC/state resources and quarterly neutral reminders. Intervention: Facebook private groups + PWA modules with deterministic tailoring rules. Pre-planned ablation: within the intervention arm, randomly select n=36 to receive non-tailored static module sequence to isolate tailoring effect (resulting groups: tailored n=39, non-tailored n=36). Randomization: centralized computer-generated permuted blocks stratified by baseline tobacco/vape use (yes/no) and high vs low rurality index. Primary metrics: retention at 6 months (percentage), SUS (median), module completion rate, branching accuracy (percent correct branching), delivered:opened message ratio. Behavioral outcomes: past-7-day tobacco/vape count, AUDIT-C score (alcohol), weekly MVPA (Godin single item), sunscreen frequency (single item), HPV initiation/completion (self-report + registry linkage). Evaluation metrics: standardized mean differences (SMD) for continuous outcomes, risk differences and relative risks for binary outcomes, 95% CI. Statistical models: mixed-effects linear or generalized linear models (random intercept for participant; fixed effects for arm, time, arm×time; link functions: identity for continuous, logit for binary), adjust for stratification covariates and pre-specified baseline covariates (age, sex, SES, eHEALS, PHQ-2). Missing data: primary analysis under MAR using mixed models and MICE (predictor matrix includes baseline outcomes, demographics, connectivity, engagement metrics; m=50 imputations), diagnostics include convergence and overlap checks. Sensitivity: pattern-mixture and tipping-point analyses for MNAR. Mediation: product-of-coefficients with bootstrap 5,000 resamples to estimate indirect effects via self-efficacy. Multiplicity: Benjamini-Hochberg FDR on ranked behavioral outcomes. Power sensitivity: report detectable SMDs for N=150 and N=180 in SAP appendix. Contamination monitor: quarterly self-report + access-log cross-check; if contamination&gt;10% run CACE (complier average causal effect) and IV analyses. Fidelity auditing: monthly 10% manual session audits.</w:t>
      </w:r>
    </w:p>
    <w:p>
      <w:r>
        <w:t xml:space="preserve"> </w:t>
      </w:r>
    </w:p>
    <w:p>
      <w:pPr>
        <w:pStyle w:val="Heading2"/>
      </w:pPr>
      <w:r>
        <w:t>Risk Factors And Limitations</w:t>
      </w:r>
    </w:p>
    <w:p>
      <w:r>
        <w:t>Low or variable internet and Facebook access in rural areas may reduce engagement and bias results (connectivity risk). Registry linkage may yield &lt;60% matches, limiting objective HPV outcome validation and creating differential verification bias. Self-reported behavior measures are vulnerable to recall and social desirability bias. Small pilot sample (N=150) limits precision and may only detect moderate effects; secondary outcomes are exploratory. Contamination (sharing access) can dilute effect estimates; thresholds for analytic correction may be imprecise. Missing data could be MNAR (not missing at random), challenging inference even with sensitivity analyses. Security or vendor compliance failures (encryption, hosting jurisdiction) pose data governance risks. Results may not generalize beyond rural emerging adults or non-Facebook platforms. Tailoring logic errors or versioning mistakes could affect fidelity; automated logs plus manual audits are required but may not catch all errors.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