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a2ar_cp_csf_hypersecretion</w:t>
      </w:r>
    </w:p>
    <w:p>
      <w:r>
        <w:t xml:space="preserve"> </w:t>
      </w:r>
    </w:p>
    <w:p>
      <w:pPr>
        <w:pStyle w:val="Heading2"/>
      </w:pPr>
      <w:r>
        <w:t>Title</w:t>
      </w:r>
    </w:p>
    <w:p>
      <w:r>
        <w:t>Multimodal testing of choroid plexus A2A receptor signaling using pharmacology, genetic models, imaging, and multi-omics to determine its role in CSF hypersecretion and ventriculomegaly in hydrocephalus</w:t>
      </w:r>
    </w:p>
    <w:p>
      <w:r>
        <w:t xml:space="preserve"> </w:t>
      </w:r>
    </w:p>
    <w:p>
      <w:pPr>
        <w:pStyle w:val="Heading2"/>
      </w:pPr>
      <w:r>
        <w:t>Short Hypothesis</w:t>
      </w:r>
    </w:p>
    <w:p>
      <w:r>
        <w:t>Excess activation of adenosine A2A receptors (A2AR) in choroid plexus epithelial cells causally increases CSF production and drives ventricular enlargement via PI3K/AKT-dependent SPAK phosphorylation of NKCC1 and NF-κB-dependent upregulation of ATP1A2, and selective A2AR antagonism (istradefylline) prevents these changes.</w:t>
      </w:r>
    </w:p>
    <w:p>
      <w:r>
        <w:t xml:space="preserve"> </w:t>
      </w:r>
    </w:p>
    <w:p>
      <w:pPr>
        <w:pStyle w:val="Heading2"/>
      </w:pPr>
      <w:r>
        <w:t>Related Work</w:t>
      </w:r>
    </w:p>
    <w:p>
      <w:r>
        <w:t>Prior studies report links between A2AR signaling and increased CSF secretion and ventriculomegaly, and evidence that common stimulants (for example caffeine) can modify adenosine signaling. Work on ion transporters (NKCC1, AQP1, AE2) and kinase regulators (SPAK/OSR1) shows transporter phosphorylation can change epithelial fluid transport. Genetic findings (for example SFMBT1 variants) implicate choroid plexus dysfunction in hydrocephalus. However, existing work has limitations: causal chains from A2AR to transporter modification and ventriculomegaly are not established; most studies do not separate increased production from impaired clearance or reduced compliance; pharmacologic specificity and receptor occupancy in choroid plexus are rarely measured; longitudinal, cross-species, and human tissue validation are limited; and omics-level cell-type resolution within the CP niche is incomplete.</w:t>
      </w:r>
    </w:p>
    <w:p>
      <w:r>
        <w:t xml:space="preserve"> </w:t>
      </w:r>
    </w:p>
    <w:p>
      <w:pPr>
        <w:pStyle w:val="Heading2"/>
      </w:pPr>
      <w:r>
        <w:t>Abstract</w:t>
      </w:r>
    </w:p>
    <w:p>
      <w:r>
        <w:t>Hydrocephalus can arise from excess cerebrospinal fluid (CSF) that enlarges brain ventricles. This project tests whether abnormal signaling through adenosine A2A receptors (A2AR) in the choroid plexus (CP) epithelium causes CSF hypersecretion and ventriculomegaly. We combine targeted pharmacology (systemic and intrathecal istradefylline and selective A1/A2B/A3 ligands), CP-specific genetic knockout, in vivo MRI and telemetry, ex vivo Ussing chamber fluid flux assays, microdialysis of adenosine, receptor occupancy and PK/PD, and single-nucleus and spatial transcriptomics. Main contribution: a pre-registered, multi-modal causal test of the pathway A2AR → PI3K/AKT → SPAK phosphorylation/NKCC1 activity and A2AR → NF-κB → ATP1A2 transcription as drivers of CSF production, with quantitative receptor occupancy–efficacy mapping and human CP validation. Expected outcome: definitive evidence for or against CP A2AR as a mechanistic and druggable driver of CSF hypersecretion, with biomarkers and effect sizes to inform translational decisions.</w:t>
      </w:r>
    </w:p>
    <w:p>
      <w:r>
        <w:t xml:space="preserve"> </w:t>
      </w:r>
    </w:p>
    <w:p>
      <w:pPr>
        <w:pStyle w:val="Heading2"/>
      </w:pPr>
      <w:r>
        <w:t>Experiments</w:t>
      </w:r>
    </w:p>
    <w:p>
      <w:r>
        <w:t>Datasets and models: juvenile kaolin rat hydrocephalus model; genetic hydrocephalus rodent line (e.g., L1cam or equivalent); wild-type controls; CP-specific Adora2a conditional knockout (Ttr-Cre or FoxJ1-Cre) animals; primary rodent and human CP epithelial cultures; human CP explants and organoids. Baselines and treatment arms: sham/vehicle; systemic istradefylline (multiple doses); intrathecal istradefylline (dose range); selective A1/A2B/A3 antagonists; bumetanide (NKCC1 blocker) control; Adora2a CP conditional knockout; rescue arm: istradefylline + NKCC1 activation where feasible. Sample sizes: primary cohorts n=8–12 per group (power α=0.05, power=0.8 target ≥30% effect), pilot validation cohorts n=4–6. Timepoints: acute 1–3 days, subacute 7–14 days, chronic 28–42 days. Primary evaluation metrics: ventricular volume by serial MRI (absolute volume and ventricle-to-brain ratio); CSF production rate by ventriculo-cisternal perfusion (ml/min); outflow resistance (Rout) and pressure-volume index (PVI) from constant-rate infusion tests; ICP telemetry mean and pulse amplitude. Secondary metrics: aqueductal stroke volume and 4D flow velocities; CP permeability Ktrans from DCE-MRI; extracellular adenosine concentration by microdialysis/biosensor; CP receptor occupancy and CSF/CP drug concentrations (PK/PD); pNKCC1 SPAK/OSR1 phosphorylation levels (Western/quantitative phosphoproteomics); ATP1A2 mRNA/protein levels; snRNA-seq cell-type expression changes; AQP1 localization. Experimental setup: randomized and blinded allocation; standardized anesthesia and circadian timing; surgical SOPs for cannulation, telemetry, and perfusion; matched tissue collection for imaging, molecular, and omics assays. Baseline comparisons and ablations: compare systemic vs intrathecal antagonism; genetic KO vs pharmacology; bumetanide co-treatment to test NKCC1 dependence; A1/A2B/A3 antagonist arms to test receptor specificity. Analysis metrics: group mean differences with adjusted p-values (multiplicity correction), effect sizes and 95% confidence intervals, receptor occupancy–efficacy correlation (Pearson or Spearman), and pre-specified causal mediation models quantifying proportion mediated by pNKCC1 and ATP1A2 changes. Reproducibility: independent replication cohort in second lab for primary endpoints prior to Milestone decision.</w:t>
      </w:r>
    </w:p>
    <w:p>
      <w:r>
        <w:t xml:space="preserve"> </w:t>
      </w:r>
    </w:p>
    <w:p>
      <w:pPr>
        <w:pStyle w:val="Heading2"/>
      </w:pPr>
      <w:r>
        <w:t>Risk Factors And Limitations</w:t>
      </w:r>
    </w:p>
    <w:p>
      <w:r>
        <w:t>Failure modes: inability to separate increased CSF production from reduced clearance or compliance, producing ambiguous results. Model biases: kaolin-induced inflammation may alter CP biology and confound effects; genetic models may not match human disease. Pharmacology limits: off-target activity of ligands and incomplete CP penetration may obscure true receptor effects; receptor occupancy measurement in small CP tissue is technically challenging. Surgical and technical failures: cannulation, perfusion, telemetry, and MRI in small animals can have nontrivial failure rates causing attrition and reduced power. Omics limitations: batch effects, low nucleus counts per condition, and variable human tissue quality limit detection of conserved signatures. Species translation: rodent CP anatomy and PK/PD differ from humans; large-animal bridging may be required. Statistical risks: multiple comparisons and small effect sizes could reduce confidence in mediation tests. Generalizability: findings may not apply to all hydrocephalus etiologies or patient ages.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