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analytical_errors_red_cross_3yr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Retrospective analysis and prediction of analytical laboratory errors across the total testing process using six-sigma metrics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Analyte-specific error frequencies and six-sigma quality metrics derived from 2021–2023 laboratory records will predict future high-severity (probable harm) analytical events with sensitivity ≥95% and positive predictive value ≥25% on a temporally held-out test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described classification of laboratory errors across the total testing process (pre-analytical, analytical, post-analytical) and used descriptive statistics and quality-control (QC) charts to monitor performance. Many studies emphasized training, equipment calibration, and simple control-limit alerts (for example, fixed sigma or SD thresholds). Limitations in existing approaches include: lack of analyte-specific clinical-change thresholds tied to management impact; weak or absent adjudication protocols for severity (limiting gold-standard labels); small or single-instrument datasets; limited linking of error events to QC, maintenance, reagent, operator metadata and clinical outcomes; and sparse validation of anomaly-detection models with temporally held-out and prospective pilots. Existing ML or statistical surveillance work rarely reports operating-point trade-offs (PPV/NPV) under plausible prevalence, nor robustly addresses missingness, instrument clustering, or reproducibility of ETL pipelines.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uses a retrospective 2021–2023 dataset from a Thai Red Cross Society general hospital laboratory to quantify, adjudicate, and predict analytically rooted laboratory errors across the total testing process. We compute analyte-level error rates, six-sigma quality metrics (a statistical measure of defects per million; explained as a way to place error rates on a common scale), and link events to QC, maintenance, reagent lot, operator context, and sampled clinical outcomes. We implement a prespecified three-code severity taxonomy (probable harm, potential harm, near miss) with a dual-review adjudication pilot and produce analyte-specific power tables. For prediction, we train temporally split models preserving instrument clustering and report sensitivity, specificity, PPV, AUC, and calibration. Main contributions are (1) an adjudicated, provenance-rich dataset and ETL specification, (2) analyte-specific surveillance baselines using six-sigma and control charts, and (3) validated predictive models and operating-point tables suitable for prospective pilot deployment. Expected impact: prioritization of high-risk analytes, evidence-based alert thresholds, and reproducible tools for targeted quality improvement.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ETL-derived tables from hospital LIS covering 2021–2023: event_master (event_id, timestamp, severity_code), test_result (accession_no, analyte, raw_value, units, instrument_id), qc_log (control values, timestamps), maintenance_log, reagent_lot, operator_table (pseudonymized), and sampled clinical_outcome records for linked admissions. Include synthetic dataset for external review. Baselines: (A) naive rate model (historic per-analyte mean rate), (B) Poisson/negative-binomial temporal control charts (u-chart; control chart is a graph showing rate over time), (C) rule-based clinical-change alerts using analyte thresholds. Proposed models: multilevel negative-binomial regression (to model counts with overdispersion and clustering), random forest and gradient-boosted tree classifiers for event-level prediction, and logistic regression with L1 regularization. Train/validation/test: temporal split by date (train 2021–2022, validation early 2023, test later 2023) preserving instrument-level clustering (i.e., group-split so instruments in test have training examples). Chart-review experiments: pilot adjudication n=150 stratified events to estimate inter-rater kappa (report kappa and 95% CI); outcome chart-review n=400 high-severity sampled events to test management-change outcomes. Evaluation metrics: sensitivity, specificity, PPV, NPV, AUC, calibration plots (reliability), Brier score, error rate per 1,000 tests, time-to-detection (median hours), time-to-resolution (median hours), and inter-rater kappa. Statistical surveillance: compute six-sigma (defects per million converted to sigma level), Poisson/negative-binomial rate ratios, and segmented interrupted time-series (ITS) for any interventions. Ablations: (1) remove QC features, (2) remove maintenance/reagent features, (3) compare multiple imputation vs complete-case vs inverse-probability weighting for missing covariates, (4) model without instrument clustering. Report operating-point trade-off tables for assumed prevalence scenarios (e.g., 0.1%, 0.5%, 2% high-severity) showing sensitivity vs PPV. Validation: temporal-test results plus an 8–12 week prospective pilot (real-time alerts gated by technologist verification) to report prospective PPV and false-alert rates.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Label quality risk: adjudication may yield imperfect gold labels; inter-rater variability may reduce model performance. 2) Low prevalence: high-severity events are rare, causing low PPV even with high sensitivity; models may generate many false positives. 3) Data linkage loss: missing or unlinked QC/maintenance/operator logs will bias analyses and reduce feature completeness. 4) Measurement uncertainty: analytical imprecision may make clinical-change thresholds ambiguous if not adjusted by assay CV (coefficient of variation). 5) Temporal drift: instrument, reagent, or workflow changes over time can degrade model validity and require frequent recalibration. 6) Generalizability: models and thresholds derived from one hospital and specific instruments may not transfer to other labs. 7) Regulatory/privacy limits: access to re-identifiable clinical outcomes may be restricted, limiting causal outcome linkage. 8) Computational limits: complex multilevel models and ML explainability (e.g., SHAP values) may require substantial compute for large tabular logs. 9) Evaluation bias: chart-review sampling or missingness may introduce selection bias affecting estimated clinical impact.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