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anion_gap_predicts_lactate_noshock_sepsis</w:t>
      </w:r>
    </w:p>
    <w:p>
      <w:r>
        <w:t xml:space="preserve"> </w:t>
      </w:r>
    </w:p>
    <w:p>
      <w:pPr>
        <w:pStyle w:val="Heading2"/>
      </w:pPr>
      <w:r>
        <w:t>Title</w:t>
      </w:r>
    </w:p>
    <w:p>
      <w:r>
        <w:t>Retrospective evaluation of anion gap and albumin-corrected anion gap to predict elevated serum lactate in adult emergency department patients with sepsis without shock</w:t>
      </w:r>
    </w:p>
    <w:p>
      <w:r>
        <w:t xml:space="preserve"> </w:t>
      </w:r>
    </w:p>
    <w:p>
      <w:pPr>
        <w:pStyle w:val="Heading2"/>
      </w:pPr>
      <w:r>
        <w:t>Short Hypothesis</w:t>
      </w:r>
    </w:p>
    <w:p>
      <w:r>
        <w:t>Higher anion gap values at ED presentation cause an increased probability of serum lactate ≥2.0 mmol/L within ±1 hour in adult patients diagnosed with sepsis without shock, after adjustment for confounders.</w:t>
      </w:r>
    </w:p>
    <w:p>
      <w:r>
        <w:t xml:space="preserve"> </w:t>
      </w:r>
    </w:p>
    <w:p>
      <w:pPr>
        <w:pStyle w:val="Heading2"/>
      </w:pPr>
      <w:r>
        <w:t>Related Work</w:t>
      </w:r>
    </w:p>
    <w:p>
      <w:r>
        <w:t>Previous work has used serum lactate as a marker for sepsis severity and used the anion gap (AG) as a broad indicator of metabolic acidosis. Prior studies have occasionally compared AG to lactate or used AG for differential diagnosis, but they are limited by small samples, single-center scope, lack of albumin correction (albumin affects AG), inconsistent assay reporting, and minimal adjustment for confounders. Existing approaches typically do not prespecify thresholds optimized for high sensitivity, rarely report bootstrapped confidence intervals for operating points, and often lack methods to address selection bias from conditioning on patients who already had lactate measured. Studies also seldom perform external validation or robust missing-data sensitivity analyses for missing-not-at-random (MNAR) mechanisms. These gaps leave unresolved whether AG can safely guide reflex lactate testing in non-shock sepsis across diverse ED settings.</w:t>
      </w:r>
    </w:p>
    <w:p>
      <w:r>
        <w:t xml:space="preserve"> </w:t>
      </w:r>
    </w:p>
    <w:p>
      <w:pPr>
        <w:pStyle w:val="Heading2"/>
      </w:pPr>
      <w:r>
        <w:t>Abstract</w:t>
      </w:r>
    </w:p>
    <w:p>
      <w:r>
        <w:t>Problem: Emergency departments need simple, widely available indicators to identify sepsis patients who should have serum lactate measured. Approach: We will perform a retrospective study of adult ED encounters meeting operational Sepsis-3 criteria that have a basic metabolic panel (to compute anion gap, AG) and a serum lactate within ±1 hour. We will analyze AG both uncorrected and albumin-corrected (AGalb) using multivariable logistic regression with restricted cubic splines for continuous effects, and ROC analysis to derive thresholds. Primary analysis targets sensitivity ≥90% for predicting lactate ≥2.0 mmol/L, with bootstrapped CIs, multiple imputation for missing covariates, and prespecified MNAR sensitivity checks. Contribution: The work will quantify the predictive value of AG and AGalb, provide reproducible, assay-aware AG cut-offs that prioritize not missing elevated lactate, and produce analytic code and ETL documentation. Expected outcome: Operational AG thresholds suitable for a CDS pilot to prompt lactate testing and focused prospective evaluation in the ED.</w:t>
      </w:r>
    </w:p>
    <w:p>
      <w:r>
        <w:t xml:space="preserve"> </w:t>
      </w:r>
    </w:p>
    <w:p>
      <w:pPr>
        <w:pStyle w:val="Heading2"/>
      </w:pPr>
      <w:r>
        <w:t>Experiments</w:t>
      </w:r>
    </w:p>
    <w:p>
      <w:r>
        <w:t>Datasets: Retrospective ED encounters age ≥18 meeting Sepsis-3 operationalized (suspected infection = antibiotic+culture within ±24h plus SOFA increase ≥2 or qSOFA ≥2), with BMP (Na, Cl, HCO3) and serum lactate drawn within ±1 hour; pilot extract n≈500–600 encounters aiming for ~140 lactate-positive (≥2.0 mmol/L) events; include multicenter data if available. Baselines: 1) Uncorrected AG alone; 2) Albumin-corrected AG (AGalb = AG + 2.5×[4.0−Alb g/dL]); 3) SOFA and qSOFA scores; 4) Multivariable logistic model with prespecified covariates (age, sex, eGFR/creatinine, albumin, liver disease, diabetes, diuretics/metformin, SOFA/qSOFA, infection source, assay/center indicators); 5) Penalized logistic (LASSO) for variable selection. Evaluation metrics: sensitivity, specificity, AUC (area under ROC curve; measure of discrimination), PPV, NPV, calibration slope and intercept (calibration means agreement between predicted and observed risk), bootstrapped 95% CIs (resampling to get interval estimates), net benefit (decision-curve analysis), and alert-burden simulation (alerts/day, number-needed-to-alert). Experimental setup: 1) Preprocess harmonizing units, compute AG and AGalb; 2) Handle missingness with MICE (multiple imputation by chained equations; imputes missing values using other variables), include outcome and assay/center indicators in imputation model; perform MNAR sensitivity using delta-adjustment and pattern-mixture scenarios with clinically plausible shifts; 3) Primary model: multivariable logistic regression with AG as continuous via restricted cubic splines (models nonlinear effects; explained as flexible curve fitting) plus covariates; internal validation by 1000-bootstrap and 5-fold cross-validation; 4) Threshold derivation: ROC-based thresholds selecting operating points with sensitivity ≥90% and separately ≥95% for lactate ≥2.0 and for lactate ≥4.0; compute bootstrapped CIs for sensitivity/specificity; 5) Selection-bias correction: implement inverse-probability weighting (IPW) where probability of having a lactate drawn is modeled and weights applied, and alternatively fit a two-stage selection model (Heckman-style) to assess bias direction and magnitude; 6) Ablations and stratified analyses: compare uncorrected AG vs AGalb; models with and without albumin; with and without assay indicators; penalized vs unpenalized models; stratify by hypoalbuminemia (&lt;3.5 g/dL), impaired renal function (eGFR&lt;60), POCT vs core-lab lactate; timing window sensitivity ±30 min and ±2 hours; 7) External validation: apply final models and selected thresholds to at least one independent site with ≥100 positive events if available; report heterogeneity metrics (I2 or random-effects variance).</w:t>
      </w:r>
    </w:p>
    <w:p>
      <w:r>
        <w:t xml:space="preserve"> </w:t>
      </w:r>
    </w:p>
    <w:p>
      <w:pPr>
        <w:pStyle w:val="Heading2"/>
      </w:pPr>
      <w:r>
        <w:t>Risk Factors And Limitations</w:t>
      </w:r>
    </w:p>
    <w:p>
      <w:r>
        <w:t>Selection bias: conditioning on encounters with lactate drawn can bias associations because clinicians select who gets lactate; correction (IPW or selection models) may be imperfect. Measurement error and assay heterogeneity: different lactate and albumin assays, POCT vs central lab, tube types, and processing delays can change values and thresholds. Missing data and MNAR: albumin or assay metadata may be missing not at random; imputation assumptions could be violated. Residual confounding: indication for lactate testing (clinical concern) and unmeasured severity markers may confound results. Sample size limits: may be insufficient events for planned interactions or subgroup tests, reducing power. Generalizability: thresholds derived in one system or assay mix may not transport to other hospitals without calibration. Retrospective design: cannot establish causation, only prediction. CDS risks: thresholds prioritizing sensitivity may create high alert volume and unnecessary testing in practice. Data governance: PHI constraints may limit data sharing and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