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triherbal_thromboinflammation_dm</w:t>
      </w:r>
    </w:p>
    <w:p>
      <w:r>
        <w:t xml:space="preserve"> </w:t>
      </w:r>
    </w:p>
    <w:p>
      <w:pPr>
        <w:pStyle w:val="Heading2"/>
      </w:pPr>
      <w:r>
        <w:t>Title</w:t>
      </w:r>
    </w:p>
    <w:p>
      <w:r>
        <w:t>Evaluation of anti-thromboinflammatory effects of a 1:1:1 blended aqueous extract of Moringa oleifera, Ocimum gratissimum, and Vernonia amygdalina in experimentally induced diabetic rats</w:t>
      </w:r>
    </w:p>
    <w:p>
      <w:r>
        <w:t xml:space="preserve"> </w:t>
      </w:r>
    </w:p>
    <w:p>
      <w:pPr>
        <w:pStyle w:val="Heading2"/>
      </w:pPr>
      <w:r>
        <w:t>Short Hypothesis</w:t>
      </w:r>
    </w:p>
    <w:p>
      <w:r>
        <w:t>Oral treatment with a 1:1:1 blended aqueous extract of Moringa oleifera, Ocimum gratissimum, and Vernonia amygdalina at 150 mg/kg for 28 days reduces thromboinflammatory outcomes (longer carotid time-to-occlusion, lower thrombus weight, reduced NET markers and platelet activation) in streptozotocin-induced diabetic rats compared with diabetic vehicle-treated controls.</w:t>
      </w:r>
    </w:p>
    <w:p>
      <w:r>
        <w:t xml:space="preserve"> </w:t>
      </w:r>
    </w:p>
    <w:p>
      <w:pPr>
        <w:pStyle w:val="Heading2"/>
      </w:pPr>
      <w:r>
        <w:t>Related Work</w:t>
      </w:r>
    </w:p>
    <w:p>
      <w:r>
        <w:t>Prior studies report that individual plant extracts from Moringa, Ocimum, and Vernonia have anti-inflammatory, antioxidant, antiplatelet, or glucose-modulating effects. Existing work often uses single-herb preparations, lacks chemical standardization, and reports only basic hematology or glucose readouts. Limitations of current approaches include high inter-batch chemical variability, absence of pharmacokinetic (PK) data to link exposure to effect, limited or no evaluation of neutrophil extracellular traps (NETs) or detailed platelet activation markers, single-sex cohorts, and small or poorly justified sample sizes. Many reports use uncharacterized crude extracts or single biomarkers, so causality and reproducibility are weak. There is also scarce testing of blended formulations versus individual constituents, and few studies quantify active markers or test metabolites, leaving unresolved whether observed effects are due to specific compounds, metabolites, or microbiome interactions.</w:t>
      </w:r>
    </w:p>
    <w:p>
      <w:r>
        <w:t xml:space="preserve"> </w:t>
      </w:r>
    </w:p>
    <w:p>
      <w:pPr>
        <w:pStyle w:val="Heading2"/>
      </w:pPr>
      <w:r>
        <w:t>Abstract</w:t>
      </w:r>
    </w:p>
    <w:p>
      <w:r>
        <w:t>Diabetes increases risk of thrombosis through interacting inflammatory and blood-based mechanisms, yet standardized botanical interventions have not been rigorously evaluated with chemical, PK, and mechanistic endpoints. This study tests whether a chemically characterized 1:1:1 aqueous blend of Moringa oleifera, Ocimum gratissimum, and Vernonia amygdalina reduces thromboinflammation in diabetic rats. We will combine extract chemical standardization, plasma pharmacokinetics of prioritized markers, and integrated thrombosis and immuno-inflammatory endpoints to establish exposure–effect relationships. The main contribution is a reproducible pipeline linking extract chemistry and PK to functional thrombotic outcomes (carotid time-to-occlusion, venous thrombus weight), platelet function, NET formation, and cytokine profiles. Expected outcomes are: (1) demonstration of dose-dependent anti-thromboinflammatory activity for the blended extract relative to diabetic controls and individual extracts; (2) identification of marker compounds or metabolites correlated with efficacy; and (3) a preclinical dataset that clarifies feasibility, safety signals, and translational biomarkers for future studies.</w:t>
      </w:r>
    </w:p>
    <w:p>
      <w:r>
        <w:t xml:space="preserve"> </w:t>
      </w:r>
    </w:p>
    <w:p>
      <w:pPr>
        <w:pStyle w:val="Heading2"/>
      </w:pPr>
      <w:r>
        <w:t>Experiments</w:t>
      </w:r>
    </w:p>
    <w:p>
      <w:r>
        <w:t>Animal cohorts and models: Use male and female Sprague-Dawley rats divided into two diabetic phenotypes: (A) STZ-only (single i.p. streptozotocin 60 mg/kg after fast) to model insulin-deficient diabetes; (B) diet-induced obesity (4 weeks high-fat diet) followed by low-dose STZ (35 mg/kg) to model insulin-resistant diabetes. Inclusion: fasting glucose ≥250 mg/dL on two readings. Group structure (per phenotype): n=10 per group (5M/5F) for primary efficacy endpoints: (1) vehicle diabetic control; (2) blended extract 150 mg/kg whole-extract (as used in prior study); (3) blended extract low and high doses (marker-equivalent; see dosing normalization); (4) individual extracts at 150 mg/kg each; (5) non-diabetic healthy control. Pilot PK/tolerability cohorts: n=6 per sex per dose. Acute toxicity: Lorke method in separate cohorts per standard protocol. Dosing and formulation: oral gavage once daily; limit gavage volume ≤10 mL/kg; normalize extract doses to primary chemical marker (% w/w) using formula: extract dose = target marker dose ÷ (marker %/100). Pharmacokinetics: single-dose PK sampling at 0, 0.25, 0.5, 1, 2, 4, 8, 24 h for selected markers by validated LC-MS/MS (target LOQ ≤5 ng/mL but record assay sensitivity); measure parent and untargeted metabolites via UHPLC-QTOF. Primary efficacy endpoint: FeCl3 carotid injury time-to-occlusion (seconds). Secondary endpoints: IVC stenosis thrombus weight (mg), thrombus histology metrics (fibrin and platelet area), platelet aggregation (light transmission aggregometry: %max response to ADP/collagen), flow cytometry P-selectin and activated GPIIb/IIIa (% positive platelets), NET markers (plasma cfDNA ng/mL, MPO-DNA units, citrullinated histone H3 ng/mL), cytokine panel (TNF-α, IL-6, IL-1β, IL-10), coagulation assays (PT, aPTT, thrombin generation AUC), CBC. Assay validation: include calibration curves, QC samples, inter/intra-run CV ≤15% where feasible. Randomization/blinding: stratified randomization by sex and diabetic model; blinded outcome assessment. Sample-size and statistics: primary hypothesis power target 80% to detect hazard ratio ≤0.60 with α=0.05; initial n=10 per group with blinded interim variance estimate for sample-size re-estimation. Analysis: Kaplan–Meier and log-rank for time-to-occlusion; Cox proportional hazards with covariates (sex, baseline glucose); mixed-effects models for repeated measures (cytokines, NETs); hierarchical multiplicity control (primary first, pre-specified secondaries next); report effect sizes with 95% CI. Comparisons and ablations: compare blended extract versus (a) vehicle diabetic control, (b) each individual extract, and (c) dose-response groups; ablation study: omit one herb from blend (two-herb blends) in a subset to test contribution of each species. PK/PD integration: compute marker AUC and correlate with primary/secondary endpoints using linear or non-linear regression and multivariate methods (PCA/PLS). Data and endpoints logging: centralized repository with raw data, assay SOPs, and metadata.</w:t>
      </w:r>
    </w:p>
    <w:p>
      <w:r>
        <w:t xml:space="preserve"> </w:t>
      </w:r>
    </w:p>
    <w:p>
      <w:pPr>
        <w:pStyle w:val="Heading2"/>
      </w:pPr>
      <w:r>
        <w:t>Risk Factors And Limitations</w:t>
      </w:r>
    </w:p>
    <w:p>
      <w:r>
        <w:t>Chemical variability: batch-to-batch differences in marker content may require large whole-extract doses (example: if a marker is 2% w/w, achieving marker-equivalent dosing can imply grams/kg extract, which may be impractical for gavage). Bioanalytical sensitivity: LOQ ≤5 ng/mL may be unattainable for some plant analytes in plasma, limiting PK interpretation. High extract doses: may exceed safe gavage volume or cause non-specific toxicity; tolerability may differ by sex and diabetic state. Diabetic model variability: STZ and HFD+STZ models have distinct pathophysiology and variance, complicating pooled analysis and increasing sample size needs. Microbiome effects: gut microbial metabolism may produce active metabolites that vary between animals and affect reproducibility; without deep sequencing this is a confounder. Metabolite relevance: active metabolites may be undetected or unstable, limiting mechanistic conclusions. Assay availability and costs: validated antibodies for some rat markers or high-precision LC-MS/MS assays may be limited or delayed. Generalization: rat results may not translate to humans due to dose scaling, metabolism, and species differences in coagulation and immunity. Resource and timeline risk: assay development, antibody sourcing, and method validation may extend timelines beyond initial projections.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