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fcm_trust_ptcds</w:t>
      </w:r>
    </w:p>
    <w:p>
      <w:r>
        <w:t xml:space="preserve"> </w:t>
      </w:r>
    </w:p>
    <w:p>
      <w:pPr>
        <w:pStyle w:val="Heading2"/>
      </w:pPr>
      <w:r>
        <w:t>Title</w:t>
      </w:r>
    </w:p>
    <w:p>
      <w:r>
        <w:t>Quantifying clinicians' perceived trust in interpretable COVID-19 clinical decision support using fuzzy cognitive maps</w:t>
      </w:r>
    </w:p>
    <w:p>
      <w:r>
        <w:t xml:space="preserve"> </w:t>
      </w:r>
    </w:p>
    <w:p>
      <w:pPr>
        <w:pStyle w:val="Heading2"/>
      </w:pPr>
      <w:r>
        <w:t>Short Hypothesis</w:t>
      </w:r>
    </w:p>
    <w:p>
      <w:r>
        <w:t>Eliciting clinicians' trust mental models with fuzzy cognitive maps (FCMs) and quantifying them yields trust scores that predict clinician acceptance of an interpretable CDS recommendation and decision concordance with a gold standard more accurately than standard survey-only trust measures.</w:t>
      </w:r>
    </w:p>
    <w:p>
      <w:r>
        <w:t xml:space="preserve"> </w:t>
      </w:r>
    </w:p>
    <w:p>
      <w:pPr>
        <w:pStyle w:val="Heading2"/>
      </w:pPr>
      <w:r>
        <w:t>Related Work</w:t>
      </w:r>
    </w:p>
    <w:p>
      <w:r>
        <w:t>Prior work assesses clinician trust in clinical decision support (CDS) mainly via post-task surveys, interviews, or by measuring acceptance rates and overrides. Explainable AI research provides attribution maps, counterfactual explanations, and model cards to improve transparency. Human-factors studies show that clearer explanations can increase subjective trust and acceptance. Limitations: survey-only methods do not capture causal links between beliefs and behavior; common XAI outputs often lack quantitative faithfulness tests and are not tied to clinician mental models; provenance and ground-truth governance are often underspecified; few studies validate quantified trust against behavioral outcomes or use reproducible, psychometrically calibrated instruments. Existing approaches therefore leave open how to elicit structured mental models, how to convert them into validated numeric trust measures, and how to relate those measures to real decision behavior under cross-classified clinician×case designs.</w:t>
      </w:r>
    </w:p>
    <w:p>
      <w:r>
        <w:t xml:space="preserve"> </w:t>
      </w:r>
    </w:p>
    <w:p>
      <w:pPr>
        <w:pStyle w:val="Heading2"/>
      </w:pPr>
      <w:r>
        <w:t>Abstract</w:t>
      </w:r>
    </w:p>
    <w:p>
      <w:r>
        <w:t>We present a reproducible methodology to elicit and quantify clinicians' perceived trust in an interpretable machine learning clinical decision support (CDS) system for COVID-19 diagnosis. We use fuzzy cognitive maps (FCMs)—graphical models where nodes represent concepts and weighted edges represent perceived causal influence—to capture each clinician's mental model of trust-related factors. We convert FCMs into numeric trust subscales (Competence, Integrity, Predictability, Explainability, Agency) and validate the quantified perceived trust against behavioral outcomes using a degree-of-agreement metric and a Trust Calibration Index (correlation of confidence and correctness). The pipeline integrates automated faithfulness checks (feature-ablation effect, counterfactual consistency, attribution stability) and expert plausibility ratings. We evaluate the method in a randomized Latin-square crossover study comparing two explanation styles and a no-explanation control, and report psychometric properties, predictive validity for recommendation acceptance and decision concordance, and operating thresholds. Expected outcome: a validated, reproducible instrument and analysis pipeline linking elicited trust mental models to clinician behavior, enabling rigorous study of interpretability and trust in clinical AI.</w:t>
      </w:r>
    </w:p>
    <w:p>
      <w:r>
        <w:t xml:space="preserve"> </w:t>
      </w:r>
    </w:p>
    <w:p>
      <w:pPr>
        <w:pStyle w:val="Heading2"/>
      </w:pPr>
      <w:r>
        <w:t>Experiments</w:t>
      </w:r>
    </w:p>
    <w:p>
      <w:r>
        <w:t>Datasets: de-identified COVID-19 chest X-ray and EHR case set annotated with clinician-relevant features, plus a synthetic holdout set; Delphi gold-standard labels from 7–12 blinded experts with agreement scores per case. Participants: target 80 clinicians × 40 cases each (3,200 clinician-case observations); pilot: 20 clinicians × 50 cases (1,000 observations). Arms: three within-subject conditions in balanced Latin-square order: no-explanation, explanation A (attribution-based), explanation B (counterfactual-based). Baselines: (1) standard survey-only trust scale (global trust), (2) acceptance-rate-only behavioral baseline, (3) black-box recommendations with no explanation. Evaluation metrics: PT-CDS subscale means (Competence, Integrity, Predictability, Explainability, Agency); Trust Calibration Index (TCI = Spearman correlation(confidence, correctness) per clinician); decision concordance (binary vs Delphi gold standard); acceptance rate; override rate; time-to-decision; Brier score for probabilistic outputs; explanation fidelity: median ΔP(pred) from top-3 feature ablations, counterfactual consistency rate, attribution stability ICC under 5% input noise; expert plausibility median (1–5). Experimental setup: logging mapped to FHIR events; randomized balanced Latin-square with 2-case buffers and 2-minute washout; pre-registered primary endpoints: PT-CDS total score and decision concordance; primary contrasts: explanation A vs B, A vs none, B vs none. Statistical models: frequentist mixed-effects models (lme4) with fixed effects explanation_type, period, sequence, case_difficulty, clinician_experience and random effects (1 + explanation_type | clinician) + (1 | case); continuous outcomes use linear mixed model (REML); binary concordance uses logistic GLMM. Power assumptions: alpha=0.05, power=0.80, d=0.35, clinician ICC=0.10, case ICC=0.20. Ablations: (a) remove explanations failing ≥2 fidelity thresholds and compare behavior pre/post exclusion; (b) ablate top-3 features to compute ΔP median; (c) compare attribution vs counterfactual explanations on acceptance and TCI. Sensitivity analyses: hierarchical simulation sweeps over ICCs and effect sizes, alternate weighting schemes for Delphi agreement, and multiple imputation for missing data.</w:t>
      </w:r>
    </w:p>
    <w:p>
      <w:r>
        <w:t xml:space="preserve"> </w:t>
      </w:r>
    </w:p>
    <w:p>
      <w:pPr>
        <w:pStyle w:val="Heading2"/>
      </w:pPr>
      <w:r>
        <w:t>Risk Factors And Limitations</w:t>
      </w:r>
    </w:p>
    <w:p>
      <w:r>
        <w:t>1) Threshold justification: initial numeric cutoffs (ΔPmedian ≥0.10, consistency ≥0.80, ICC ≥0.70) may not generalize; simulation and pilot may still leave uncertainty. 2) Model misspecification: mixed models may require simplification if variance components are small or singular; random-slope models can fail to converge. 3) Missing data and learning effects: repeated exposures risk practice or fatigue effects and non-random missingness; multilevel imputation assumptions may be violated. 4) Delphi disagreement: low expert agreement will reduce usable gold-standard cases and inflate required sample size. 5) Fidelity measurement errors: counterfactual search and ablation approximations can produce biased ΔP and consistency estimates; automated flags can yield false positives/negatives. 6) Behavioral reactivity: clinicians may change behavior due to observation (Hawthorne effect) or non-punitive framing may not fully remove performance anxiety. 7) Privacy and governance constraints: de-identification limits available signal; DUAs and IRB conditions may restrict multi-site data sharing. 8) Compute and scalability: constrained sparse counterfactual searches and repeated ablation tests are computationally intensive for large case sets. 9) Generalization limits: results from COVID-19 diagnosis cases and participating clinicians may not generalize to other specialties or real-time live-care settings. 10) Regulatory boundary: moving from sandbox to clinical deployment triggers additional validation and human-factors testing not covered by this study.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