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hierarchical_xai_mri_distal_myopathy</w:t>
      </w:r>
    </w:p>
    <w:p>
      <w:r>
        <w:t xml:space="preserve"> </w:t>
      </w:r>
    </w:p>
    <w:p>
      <w:pPr>
        <w:pStyle w:val="Heading2"/>
      </w:pPr>
      <w:r>
        <w:t>Title</w:t>
      </w:r>
    </w:p>
    <w:p>
      <w:r>
        <w:t>Hierarchical occlusion and ensemble explainable AI for MRI diagnostic support in distal myopathies</w:t>
      </w:r>
    </w:p>
    <w:p>
      <w:r>
        <w:t xml:space="preserve"> </w:t>
      </w:r>
    </w:p>
    <w:p>
      <w:pPr>
        <w:pStyle w:val="Heading2"/>
      </w:pPr>
      <w:r>
        <w:t>Short Hypothesis</w:t>
      </w:r>
    </w:p>
    <w:p>
      <w:r>
        <w:t>Providing radiologists with ensemble explanation maps that include hierarchical occlusion saliency increases lesion detection sensitivity on distal myopathy MRI by at least 3% compared to radiologist-alone.</w:t>
      </w:r>
    </w:p>
    <w:p>
      <w:r>
        <w:t xml:space="preserve"> </w:t>
      </w:r>
    </w:p>
    <w:p>
      <w:pPr>
        <w:pStyle w:val="Heading2"/>
      </w:pPr>
      <w:r>
        <w:t>Related Work</w:t>
      </w:r>
    </w:p>
    <w:p>
      <w:r>
        <w:t>Existing work applies deep learning to MRI diagnosis and uses attribution methods (for example, gradient-based saliency like Grad-CAM and gradient*input methods) and simple occlusion tests to explain predictions. Prior evaluations commonly report pixel/voxel overlap (IoU) with lesion masks and insertion/deletion curves. Limitations of current approaches: most methods are developed for 2D images and do not scale or account for MRI volume structure; single-method explanations are brittle and can highlight confounding artifacts; occlusion evaluations are typically coarse and non-hierarchical (they remove fixed-size blocks rather than structured regions); few studies evaluate explanations against MRI physics (T1/T2/ADC) or use phantoms; robustness tests (k-space perturbations, field drift, motion) are rare; human factors studies are limited in size or lack pre-specified statistical plans; harmonization effects on lesion signal are often untested. Regulatory and fairness reporting are also inconsistent.</w:t>
      </w:r>
    </w:p>
    <w:p>
      <w:r>
        <w:t xml:space="preserve"> </w:t>
      </w:r>
    </w:p>
    <w:p>
      <w:pPr>
        <w:pStyle w:val="Heading2"/>
      </w:pPr>
      <w:r>
        <w:t>Abstract</w:t>
      </w:r>
    </w:p>
    <w:p>
      <w:r>
        <w:t>We address whether explainable AI (XAI) can provide clinically useful, reliable visual explanations for a volumetric MRI diagnostic model for distal myopathies. We propose a hierarchical occlusion method that perturbs image regions at multiple spatial scales, combined with an ensemble of complementary XAI techniques to produce clinician-oriented saliency maps. The main contribution is an end-to-end evaluation pipeline that links physics‑aware validation (phantoms and parameter-controlled simulations), robustness stress tests (k-space perturbations, motion and field drift), and a pre-registered, reader-study assessment with radiologist feedback. Expected outcomes are: (1) explanation maps that localize lesions with improved localization metrics and fidelity compared with single-method baselines; (2) measured impact on radiologist sensitivity and decision confidence in a randomized crossover trial; and (3) clear failure modes documented for regulatory transparency. This work aims to produce reproducible, volumetric XAI artifacts and evaluation scripts that enable rigorous assessment of explainability value in MRI diagnostics.</w:t>
      </w:r>
    </w:p>
    <w:p>
      <w:r>
        <w:t xml:space="preserve"> </w:t>
      </w:r>
    </w:p>
    <w:p>
      <w:pPr>
        <w:pStyle w:val="Heading2"/>
      </w:pPr>
      <w:r>
        <w:t>Experiments</w:t>
      </w:r>
    </w:p>
    <w:p>
      <w:r>
        <w:t>Datasets: 1) Multicenter volumetric MRI dataset of distal myopathy cases with biopsy-proven labels where available: target N = 600 subjects total, enriched for positives to obtain 250–400 positive cases; include DICOM metadata, vendor and field-strength tags. 2) Phantom scans with known T1/T2/ADC values across sites. 3) Synthetic lesion insertion sets and generative MRI simulations where single physical parameter (T1, T2, ADC, B0) is varied across prespecified ranges. 4) Held-out external sites for domain generalization (minimum 2 sites). Baselines: A) Radiologist-alone (no AI). B) Radiologist + model prediction without XAI overlays. C) Radiologist + single XAI methods: 3D Grad-CAM++, 3D Integrated Gradients, standard occlusion (fixed-window). D) Model with no harmonization and with each harmonization method (ComBat, domain-adversarial). Model: volumetric 3D CNN classifier trained for lesion detection/localization; same backbone for all XAI baselines. Proposed method: hierarchical occlusion (multi-scale structured occlusion) + ensemble aggregation + optional physics-regularizer. Evaluation metrics: Primary clinical metric: per-case sensitivity (reader detection of lesions) with mixed-effects logistic regression (readers and centers as random effects). Secondary: AUROC (DeLong test), specificity, time-on-task, confidence calibration (Brier score), and management-change rates. Explanation metrics: lesion-level IoU stratified by lesion size (small/medium/large), insertion AUC (area under curve of fidelity test) vs randomized null baseline, deletion AUC, ROAR (remove and retrain) impact on model performance, centroid displacement (distance in mm between explanation center and lesion center), normalized localization error (distance divided by lesion diameter), SSIM stability under physiologic perturbations, attribution magnitude calibration (correlation between attribution scores and lesion contrast-to-noise ratio), and permutation nulls (label shuffling) to estimate chance attribution. Human factors: randomized crossover reader study with 12 board-certified musculoskeletal radiologists reading a balanced set of ~250 cases across three arms (radiologist-alone, radiologist+model, radiologist+model+XAI). Randomization: Latin square to control order effects. Pre-study training: competency checklist (readers must pass a short calibration set). Statistical tests and setup: primary hypothesis test is paired difference in sensitivity with mixed-effects logistic regression; preregister non-inferiority margin −5% and superiority target +3%. Power scenarios precomputed across ICC in [0.01,0.08]; DeLong for AUROC. Multiple comparisons: control false discovery rate (FDR) for secondary outcome family. Missingness: predefine complete-case primary analysis and sensitivity analyses using multiple imputation for missing or unreadable studies. Ablations: (1) remove hierarchical occlusion (use flat occlusion only); (2) remove ensemble (single best XAI); (3) remove physics-regularizer; (4) evaluate each harmonization method. Robustness tests: apply k-space undersampling, simulated motion, B0/B1 drift, and adversarial L-infinity perturbations; measure change in explanation stability (SSIM drop, centroid shift &gt;10 mm) and model AUROC. Reporting: publish per-case and per-lesion metrics, operating curves for IoU vs coverage, and all analysis scripts and seeds.</w:t>
      </w:r>
    </w:p>
    <w:p>
      <w:r>
        <w:t xml:space="preserve"> </w:t>
      </w:r>
    </w:p>
    <w:p>
      <w:pPr>
        <w:pStyle w:val="Heading2"/>
      </w:pPr>
      <w:r>
        <w:t>Risk Factors And Limitations</w:t>
      </w:r>
    </w:p>
    <w:p>
      <w:r>
        <w:t>Harmonization may reduce lesion contrast and remove true pathology signal, causing false negatives. Small lesions (&lt;5 mm) may have low IoU and poor localization, limiting clinical impact. Dataset bias: multicenter collection may still underrepresent demographic or vendor subgroups, limiting fairness and generalization. Annotator variability: ground-truth segmentation disagreement can inflate uncertainty in evaluation metrics. Scalability: 3D ensemble XAI and hierarchical occlusion are compute intensive and may require multiple GPUs, limiting deployment. Adversarial or distribution shifts (unseen scanner protocols) can produce unstable explanations and lower model AUROC. Statistical power for subgroup analyses may be insufficient if subgroup sizes fall below prespecified minimums. Privacy/regulatory constraints can limit data sharing and reduce reproducibility across sites. Human factors: readers may misinterpret XAI overlays or develop automation bias; measured improvements may not translate to routine clinical workflow. Causal validation depends on simulator fidelity; simulated phantoms may not capture full biological variability, limiting identifiability of true causal mechanisms.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