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for Semi-Supervised Medical Image Segmentation with Limited Annotations</w:t>
      </w:r>
    </w:p>
    <w:p>
      <w:r>
        <w:t xml:space="preserve"> </w:t>
      </w:r>
    </w:p>
    <w:p>
      <w:pPr>
        <w:pStyle w:val="Heading2"/>
      </w:pPr>
      <w:r>
        <w:t>Short Hypothesis</w:t>
      </w:r>
    </w:p>
    <w:p>
      <w:r>
        <w:t>On pulmonary and hepatic lesion segmentation tasks with 10% fully labeled training data, integrating scale-aware adaptive pixel-wise reweighting, 3D Fourier-domain view-variance augmentation, and segmentation–regression consistency using signed distance maps increases mean lesion-level Dice by at least 3.0 percentage points versus a strong semi-supervised pseudo-labeling baseline under the same label budget.</w:t>
      </w:r>
    </w:p>
    <w:p>
      <w:r>
        <w:t xml:space="preserve"> </w:t>
      </w:r>
    </w:p>
    <w:p>
      <w:pPr>
        <w:pStyle w:val="Heading2"/>
      </w:pPr>
      <w:r>
        <w:t>Related Work</w:t>
      </w:r>
    </w:p>
    <w:p>
      <w:r>
        <w:t>Semi-supervised segmentation methods typically use consistency regularization (enforcing stable outputs under input perturbations) or pseudo-labeling (teacher-generated labels for unlabeled data). Uncertainty-aware selection and MC-dropout ensembles reduce label noise by estimating model uncertainty, while multi-scale feature fusion and attention/gating modules (mechanisms that weigh information from different spatial scales) aim to improve detection of small or multi-scale structures. Boundary-aware losses and signed distance map regression (predicting distance to the nearest boundary) have been used to sharpen edges. Fourier-domain and frequency-based augmentations have been explored for style or intensity variation. Limitations: many methods apply global thresholds or uniform weights that ignore per-pixel scale, do not explicitly simulate annotator/view variability, and propagate overconfident pseudo-labels into training. Existing scale modules often lack temporal/ensemble confidence integration, and boundary improvements are not consistently combined with scale or view-variance modeling, leaving small-lesion and inter-annotator variability unresolved.</w:t>
      </w:r>
    </w:p>
    <w:p>
      <w:r>
        <w:t xml:space="preserve"> </w:t>
      </w:r>
    </w:p>
    <w:p>
      <w:pPr>
        <w:pStyle w:val="Heading2"/>
      </w:pPr>
      <w:r>
        <w:t>Abstract</w:t>
      </w:r>
    </w:p>
    <w:p>
      <w:r>
        <w:t>Medical image segmentation often suffers from scarce annotations, variable annotator decisions, and lesions that span multiple scales. We propose a unified semi-supervised framework, SASNet, that fuses low-level and high-level features using a scale-aware adaptive reweighting mechanism to produce pixel-wise scale-confidence; simulates annotation/view variability by applying controlled perturbations in the 3D Fourier domain; and enforces segmentation–regression consistency by jointly learning segmentation masks and signed distance maps (a map that gives the signed distance from each voxel to the nearest object boundary). The main contribution is the integration of spatial (multi-scale), temporal/ensemble (confidence accumulation), and geometric (distance-map) consistency into one optimization loop so that pseudo-labels and unlabeled-data losses are weighted by calibrated, per-pixel scale-aware confidence. Expected outcomes include improved boundary precision, higher sensitivity for small lesions, and more robust pseudo-labeling under limited annotation budgets, yielding measurable gains in standard segmentation metrics and calibrated uncertainty estimates.</w:t>
      </w:r>
    </w:p>
    <w:p>
      <w:r>
        <w:t xml:space="preserve"> </w:t>
      </w:r>
    </w:p>
    <w:p>
      <w:pPr>
        <w:pStyle w:val="Heading2"/>
      </w:pPr>
      <w:r>
        <w:t>Experiments</w:t>
      </w:r>
    </w:p>
    <w:p>
      <w:r>
        <w:t>Datasets: pulmonary nodule CT using LIDC/ LUNA subsets plus local CT (target pool 300–500 exams), hepatic lesion segmentation using LiTS plus ~200 local MRI/CT exams. Label budgets: 5%, 10%, 25% fully labeled exams; allow weak labels (scribbles/points) up to 50% coverage. Splits: patient-level stratified 5-fold cross-validation for tuning; one external hold-out site (different vendor/scanner) for final test. Baselines: (1) supervised-only trained on labeled subset; (2) strong semi-supervised pseudo-labeling baseline (mean-teacher style with standard augmentations); (3) consistency-regularization baseline (VAT/augmentation consistency). Ablations: cross-scale consistency on/off; SAFB gating learned vs average; hard vs soft pseudo-labels; multi-scale deep supervision vs final-head only; dedicated boundary head vs joint; uncertainty gating on/off; active-learning acquisition variants. Metrics: voxel-level Dice and IoU, 95% Hausdorff distance, boundary Dice, lesion-level sensitivity and PPV stratified by size bins (tiny &lt;50 mm3, small 50–500 mm3, medium 500–5000 mm3, large &gt;5000 mm3), FROC, per-voxel Expected Calibration Error (ECE) and Brier score, lesion-wise FP/case. Setup: 3D patch training 128×128×64 voxels, model ~25–40M parameters, mixed precision on A100; optimizer AdamW, lr sweep [1e-5,1e-3], weight decay [1e-4,1e-2]; supervised loss = 1.0*Dice + 0.5*soft-CE + 0.3*boundary-BCE; ramp unlabeled consistency weight 0→1.0 over first 10k iterations; pseudo-label curriculum tau: 0.90→0.70 (decay epochs 20–80); accept pixel pseudo-labels only if teacher softmax ≥0.80 and epistemic variance (MC-dropout, 5 passes) ≤0.15 or ensemble agreement ≥0.8; snapshot ensemble size 3, MC-dropout passes=5. Reproducibility: run each ablation cell with 3 random seeds; statistical tests: bootstrap 10k resamples for 95% CIs, paired Wilcoxon signed-rank for per-case comparisons, DeLong for AUCs, Benjamini–Hochberg correction across ablation families. Compute profiling: expected ~1–2 3D patches/sec on A100; pseudo-label generation overhead ≈5× for MC-dropout and 3× for snapshot ensembles; pre-register all analysis scripts and runbooks.</w:t>
      </w:r>
    </w:p>
    <w:p>
      <w:r>
        <w:t xml:space="preserve"> </w:t>
      </w:r>
    </w:p>
    <w:p>
      <w:pPr>
        <w:pStyle w:val="Heading2"/>
      </w:pPr>
      <w:r>
        <w:t>Risk Factors And Limitations</w:t>
      </w:r>
    </w:p>
    <w:p>
      <w:r>
        <w:t>Technical failure modes: scale-aware gating may overfit to training-size distributions and incorrectly weight boundaries, leading to degraded small-lesion recall; pseudo-label confirmation bias can propagate errors if confidence thresholds are mis-set. Data and evaluation biases: training sets may under-represent rare lesion types, scanner vendors, or voxel spacings, limiting generalization; small-lesion metrics are sensitive to matching rules (IoU or centroid thresholds). Scalability and compute: 3D training, MC-dropout ensembles, and snapshot pseudo-labeling increase compute and storage (pseudo-label generation may be 5–15× more expensive than single inference). Privacy and federated limits: DP-SGD and secure aggregation reduce utility and add complexity; reported epsilon values may not preserve full utility. Statistical limitations: effect-size targets (e.g., 3% Dice) depend on variance estimates and sample sizes; pilot-derived thresholds may not transfer across sites. Clinical translation limits: tuning of thresholds and human-review triggers is required per site; results may not generalize to modalities beyond CT/MRI or to tasks with fundamentally different appearance. Unrealistic assumptions: assumes availability of at least a modest external hold-out site and enough compute for ensemble-based pseudo-labeling.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