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cmrxmotion_robust_benchmark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Physics-calibrated simulation and motion-aware deep-learning for robust cardiac cine MRI under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reconstruction and segmentation pipeline trained with physics-calibrated simulated data that provides per-frame dense motion fields and uncertainty will reduce left-ventricular ejection fraction (EF) bias by at least 3% (absolute) on respiratory-motion-corrupted cardiac cine MRI compared to conventional compressed-sensing reconstruction.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for motion-affected cardiac cine MRI include compressed sensing (CS) and low-rank methods (which exploit sparsity or repeated patterns in images), XD-GRASP (a k-space sorting approach using extra dimensions like respiratory phase), low-rank plus sparsity (kt-SLR), and learned reconstruction models such as MoDL (model-based deep learning) that alternate learned priors with data consistency. Registration networks (e.g., VoxelMorph-style) estimate deformation fields for motion correction. Recent transformer-based spatiotemporal models capture long-range dependencies. Limitations: (1) Many approaches are trained and validated on breath-hold or limited-motion data and do not generalize to extreme respiratory motion. (2) Simulators often lack hardware-calibrated noise, B0 (magnetic field) drift, and coil sensitivity dynamics, causing a domain gap to scanner data. (3) Motion ground truth is scarce or not provided as dense 3D per-frame fields with uncertainty. (4) Uncertainty quantification (UQ) and standardized compute/resource envelopes are rarely provided, limiting reproducibility and fair benchmarking.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benchmark and method suite that combines physics-calibrated simulation, dense per-frame motion ground truth, and motion-aware deep-learning reconstruction to improve robustness of cardiac cine MRI under respiratory motion. The dataset includes a multi-vendor pilot (N=30) used to calibrate simulator noise, eddy-current and B0 models, plus a larger simulated cohort (~1000 cases) with controlled pathologies and arrhythmias. We provide ISMRMRD-formatted raw k-space, per-sample timestamps, dense 3D displacement fields, voxelwise uncertainty maps, and canonical IO tools. The main methodological component is a motion-aware unrolled reconstruction (MoDL-style) that predicts deformation fields in-loop and uses them to warp frames during reconstruction; a spatiotemporal transformer and a registration head are provided as complementary baselines. Evaluation uses image fidelity metrics (SSIM, PSNR), motion error (end-point error, EPE), clinical quantification (EDV/ESV/EF bias and RMSE), and UQ calibration (reliability diagrams). Expected outcome: provable reduction in EF bias on motion-corrupted data, standardized baselines and reproducible evaluation for community benchmarking.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real multi-vendor pilot: 3 sites (Siemens, Philips, GE), N=30 adult subjects with paired breath-hold Cartesian cines and free-breathing golden-angle radial/stack-of-stars plus iNAV and ECG; (2) simulated dataset: N≈1000 XCAT-based physics-calibrated cases with pathologies (HCM 10%, DCM 10%, scar 15%) and arrhythmias in 15% of cases; splits stratified by motion severity: train 600 / val 200 / test 200. Data format: ISMRMRD k-space with per-sample coordinates and timestamps. Baselines: compressed sensing (CS) with wavelet-TV, XD-GRASP, kt-SLR, motion-aware MoDL unrolled network, spatiotemporal transformer, VoxelMorph-style registration followed by CS recon. Evaluation metrics: SSIM (structural similarity index), PSNR (peak signal-to-noise ratio), gradient preservation metric (edge RMSE), motion EPE (end-point error in mm), EDV/ESV/EF bias and RMSE, Dice coefficient for segmentation, runtime and peak GPU memory. UQ metrics: reliability diagram, expected calibration error (ECE), and NIST-style calibration test (coverage of 68% within ±1σ). Experimental setup: train models with fixed seeds; Dockerized containers; training references on 2×A100 or equivalent; inference constrained to single GPU 32GB, max 2 hours per case. Statistical tests: paired two-sided t-test or Wilcoxon for EF bias (alpha=0.05); power analysis targeting detection of 3% EF bias at 80% power (report assumptions and sample-size calculation). Ablations: (A1) remove motion supervision (no dense motion labels), (A2) disable B0/coil drift coupling in simulation, (A3) remove iNAV/respiratory embeddings, (A4) replace learned motion with rigid alignment. For each ablation report the same metrics and stratify results by motion tier (easy/moderate/hard) and arrhythmia presence.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Simulator reality gap: physics-calibrated simulation may not fully match all scanner-specific artifacts, causing reduced transfer to clinical data. UQ miscalibration: predicted uncertainty maps may not be well calibrated across motion tiers. Annotation variability: inter- and intra-rater differences in contours introduce label noise affecting clinical metrics (EDV/ESV/EF). Compute limits: advanced models (transformers, unrolled networks) may require large GPU memory and long training times, limiting reproducibility for resource-constrained groups. Non-determinism: GPU numerical nondeterminism can affect exact reproducibility of results. Evaluation bias: simulated pathology prevalence and arrhythmia models may not match real populations, limiting generalization. Regulatory/privacy constraints: multi-site real data sharing may impose access restrictions and delay benchmarks. Failure modes: extreme irregular respiration (sudden coughs) or rare arrhythmias may break motion estimators leading to large quantification errors.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